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C710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r>
        <w:rPr>
          <w:sz w:val="36"/>
        </w:rPr>
        <mc:AlternateContent>
          <mc:Choice Requires="wps">
            <w:drawing>
              <wp:anchor distT="0" distB="0" distL="114300" distR="114300" simplePos="0" relativeHeight="251659264" behindDoc="0" locked="0" layoutInCell="1" allowOverlap="1">
                <wp:simplePos x="0" y="0"/>
                <wp:positionH relativeFrom="column">
                  <wp:posOffset>-303530</wp:posOffset>
                </wp:positionH>
                <wp:positionV relativeFrom="paragraph">
                  <wp:posOffset>-593090</wp:posOffset>
                </wp:positionV>
                <wp:extent cx="857885" cy="412750"/>
                <wp:effectExtent l="0" t="0" r="0" b="0"/>
                <wp:wrapNone/>
                <wp:docPr id="1" name="文本框 1"/>
                <wp:cNvGraphicFramePr/>
                <a:graphic xmlns:a="http://schemas.openxmlformats.org/drawingml/2006/main">
                  <a:graphicData uri="http://schemas.microsoft.com/office/word/2010/wordprocessingShape">
                    <wps:wsp>
                      <wps:cNvSpPr txBox="1"/>
                      <wps:spPr>
                        <a:xfrm>
                          <a:off x="902970" y="528955"/>
                          <a:ext cx="857885" cy="41275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0F87FF4C">
                            <w:pPr>
                              <w:rPr>
                                <w:rFonts w:hint="default" w:eastAsiaTheme="minorEastAsia"/>
                                <w:sz w:val="32"/>
                                <w:szCs w:val="32"/>
                                <w:lang w:val="en-US" w:eastAsia="zh-CN"/>
                              </w:rPr>
                            </w:pPr>
                            <w:r>
                              <w:rPr>
                                <w:rFonts w:hint="eastAsia"/>
                                <w:sz w:val="32"/>
                                <w:szCs w:val="32"/>
                                <w:lang w:val="en-US" w:eastAsia="zh-CN"/>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pt;margin-top:-46.7pt;height:32.5pt;width:67.55pt;z-index:251659264;mso-width-relative:page;mso-height-relative:page;" filled="f" stroked="f" coordsize="21600,21600" o:gfxdata="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g6OSbdwAAAAKAQAADwAAAAAAAAABACAAAAAiAAAA&#10;ZHJzL2Rvd25yZXYueG1sUEsBAhQAFAAAAAgAh07iQB/vEVGuAgAAVwUAAA4AAAAAAAAAAQAgAAAA&#10;KwEAAGRycy9lMm9Eb2MueG1sUEsFBgAAAAAGAAYAWQEAAEsGAAAAAA==&#10;">
                <v:fill on="f" focussize="0,0"/>
                <v:stroke on="f" weight="0.5pt"/>
                <v:imagedata o:title=""/>
                <o:lock v:ext="edit" aspectratio="f"/>
                <v:textbox>
                  <w:txbxContent>
                    <w:p w14:paraId="0F87FF4C">
                      <w:pPr>
                        <w:rPr>
                          <w:rFonts w:hint="default" w:eastAsiaTheme="minorEastAsia"/>
                          <w:sz w:val="32"/>
                          <w:szCs w:val="32"/>
                          <w:lang w:val="en-US" w:eastAsia="zh-CN"/>
                        </w:rPr>
                      </w:pPr>
                      <w:r>
                        <w:rPr>
                          <w:rFonts w:hint="eastAsia"/>
                          <w:sz w:val="32"/>
                          <w:szCs w:val="32"/>
                          <w:lang w:val="en-US" w:eastAsia="zh-CN"/>
                        </w:rPr>
                        <w:t>附件1</w:t>
                      </w:r>
                    </w:p>
                  </w:txbxContent>
                </v:textbox>
              </v:shape>
            </w:pict>
          </mc:Fallback>
        </mc:AlternateContent>
      </w:r>
      <w:r>
        <w:rPr>
          <w:rFonts w:hint="eastAsia" w:ascii="方正小标宋简体" w:hAnsi="方正小标宋简体" w:eastAsia="方正小标宋简体" w:cs="方正小标宋简体"/>
          <w:b w:val="0"/>
          <w:bCs/>
          <w:color w:val="auto"/>
          <w:sz w:val="36"/>
          <w:szCs w:val="36"/>
          <w:highlight w:val="none"/>
        </w:rPr>
        <w:t>海口市电影公司</w:t>
      </w:r>
      <w:r>
        <w:rPr>
          <w:rFonts w:hint="eastAsia" w:ascii="方正小标宋简体" w:hAnsi="方正小标宋简体" w:eastAsia="方正小标宋简体" w:cs="方正小标宋简体"/>
          <w:b w:val="0"/>
          <w:bCs/>
          <w:color w:val="auto"/>
          <w:sz w:val="36"/>
          <w:szCs w:val="36"/>
          <w:highlight w:val="none"/>
          <w:lang w:val="en-US" w:eastAsia="zh-CN"/>
        </w:rPr>
        <w:t>采购公益电影放映</w:t>
      </w:r>
      <w:bookmarkStart w:id="0" w:name="_GoBack"/>
      <w:bookmarkEnd w:id="0"/>
      <w:r>
        <w:rPr>
          <w:rFonts w:hint="eastAsia" w:ascii="方正小标宋简体" w:hAnsi="方正小标宋简体" w:eastAsia="方正小标宋简体" w:cs="方正小标宋简体"/>
          <w:b w:val="0"/>
          <w:bCs/>
          <w:color w:val="auto"/>
          <w:sz w:val="36"/>
          <w:szCs w:val="36"/>
          <w:highlight w:val="none"/>
          <w:lang w:val="en-US" w:eastAsia="zh-CN"/>
        </w:rPr>
        <w:t>设备要求（参考）</w:t>
      </w:r>
    </w:p>
    <w:p w14:paraId="245B4CEA">
      <w:pPr>
        <w:keepNext w:val="0"/>
        <w:keepLines w:val="0"/>
        <w:pageBreakBefore w:val="0"/>
        <w:kinsoku/>
        <w:wordWrap/>
        <w:overflowPunct/>
        <w:topLinePunct w:val="0"/>
        <w:autoSpaceDE/>
        <w:autoSpaceDN/>
        <w:bidi w:val="0"/>
        <w:adjustRightInd/>
        <w:snapToGrid/>
        <w:spacing w:line="520" w:lineRule="exact"/>
        <w:ind w:firstLine="640"/>
        <w:textAlignment w:val="auto"/>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一、技术要求</w:t>
      </w:r>
    </w:p>
    <w:tbl>
      <w:tblPr>
        <w:tblStyle w:val="4"/>
        <w:tblW w:w="9566" w:type="dxa"/>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210"/>
        <w:gridCol w:w="7620"/>
      </w:tblGrid>
      <w:tr w14:paraId="449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36" w:type="dxa"/>
            <w:vAlign w:val="center"/>
          </w:tcPr>
          <w:p w14:paraId="4FC536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b/>
                <w:bCs w:val="0"/>
                <w:color w:val="auto"/>
                <w:sz w:val="24"/>
                <w:szCs w:val="24"/>
                <w:highlight w:val="none"/>
                <w:vertAlign w:val="baseline"/>
                <w:lang w:val="en-US" w:eastAsia="zh-CN"/>
              </w:rPr>
            </w:pPr>
            <w:r>
              <w:rPr>
                <w:rFonts w:hint="eastAsia" w:ascii="黑体" w:hAnsi="黑体" w:eastAsia="黑体" w:cs="黑体"/>
                <w:b/>
                <w:bCs w:val="0"/>
                <w:color w:val="auto"/>
                <w:sz w:val="24"/>
                <w:szCs w:val="24"/>
                <w:highlight w:val="none"/>
                <w:vertAlign w:val="baseline"/>
                <w:lang w:val="en-US" w:eastAsia="zh-CN"/>
              </w:rPr>
              <w:t>序号</w:t>
            </w:r>
          </w:p>
        </w:tc>
        <w:tc>
          <w:tcPr>
            <w:tcW w:w="1210" w:type="dxa"/>
            <w:vAlign w:val="center"/>
          </w:tcPr>
          <w:p w14:paraId="0F132D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b/>
                <w:bCs w:val="0"/>
                <w:color w:val="auto"/>
                <w:sz w:val="24"/>
                <w:szCs w:val="24"/>
                <w:highlight w:val="none"/>
                <w:vertAlign w:val="baseline"/>
                <w:lang w:val="en-US" w:eastAsia="zh-CN"/>
              </w:rPr>
            </w:pPr>
            <w:r>
              <w:rPr>
                <w:rFonts w:hint="eastAsia" w:ascii="黑体" w:hAnsi="黑体" w:eastAsia="黑体" w:cs="黑体"/>
                <w:b/>
                <w:bCs w:val="0"/>
                <w:color w:val="auto"/>
                <w:sz w:val="24"/>
                <w:szCs w:val="24"/>
                <w:highlight w:val="none"/>
                <w:vertAlign w:val="baseline"/>
                <w:lang w:val="en-US" w:eastAsia="zh-CN"/>
              </w:rPr>
              <w:t>设备名称</w:t>
            </w:r>
          </w:p>
        </w:tc>
        <w:tc>
          <w:tcPr>
            <w:tcW w:w="7620" w:type="dxa"/>
            <w:vAlign w:val="center"/>
          </w:tcPr>
          <w:p w14:paraId="33A98F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b/>
                <w:bCs w:val="0"/>
                <w:color w:val="auto"/>
                <w:sz w:val="24"/>
                <w:szCs w:val="24"/>
                <w:highlight w:val="none"/>
                <w:vertAlign w:val="baseline"/>
                <w:lang w:val="en-US" w:eastAsia="zh-CN"/>
              </w:rPr>
            </w:pPr>
            <w:r>
              <w:rPr>
                <w:rFonts w:hint="eastAsia" w:ascii="黑体" w:hAnsi="黑体" w:eastAsia="黑体" w:cs="黑体"/>
                <w:b/>
                <w:bCs w:val="0"/>
                <w:color w:val="auto"/>
                <w:sz w:val="24"/>
                <w:szCs w:val="24"/>
                <w:highlight w:val="none"/>
                <w:vertAlign w:val="baseline"/>
                <w:lang w:val="en-US" w:eastAsia="zh-CN"/>
              </w:rPr>
              <w:t>参数及规格</w:t>
            </w:r>
          </w:p>
        </w:tc>
      </w:tr>
      <w:tr w14:paraId="093F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463103A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Cs/>
                <w:color w:val="auto"/>
                <w:sz w:val="24"/>
                <w:szCs w:val="24"/>
                <w:highlight w:val="none"/>
                <w:vertAlign w:val="baseline"/>
                <w:lang w:val="en-US" w:eastAsia="zh-CN"/>
              </w:rPr>
              <w:t>1</w:t>
            </w:r>
          </w:p>
        </w:tc>
        <w:tc>
          <w:tcPr>
            <w:tcW w:w="1210" w:type="dxa"/>
            <w:vAlign w:val="center"/>
          </w:tcPr>
          <w:p w14:paraId="51088F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heme="minorEastAsia" w:hAnsiTheme="minorEastAsia" w:eastAsiaTheme="minorEastAsia" w:cstheme="minorEastAsia"/>
                <w:b/>
                <w:bCs w:val="0"/>
                <w:color w:val="auto"/>
                <w:sz w:val="24"/>
                <w:szCs w:val="24"/>
                <w:highlight w:val="none"/>
                <w:vertAlign w:val="baseline"/>
              </w:rPr>
            </w:pPr>
            <w:r>
              <w:rPr>
                <w:rFonts w:hint="eastAsia" w:asciiTheme="minorEastAsia" w:hAnsiTheme="minorEastAsia" w:eastAsiaTheme="minorEastAsia" w:cstheme="minorEastAsia"/>
                <w:b/>
                <w:bCs w:val="0"/>
                <w:color w:val="auto"/>
                <w:sz w:val="24"/>
                <w:szCs w:val="24"/>
                <w:highlight w:val="none"/>
                <w:vertAlign w:val="baseline"/>
              </w:rPr>
              <w:t>数字电影</w:t>
            </w:r>
          </w:p>
          <w:p w14:paraId="4A41445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
                <w:bCs w:val="0"/>
                <w:color w:val="auto"/>
                <w:sz w:val="24"/>
                <w:szCs w:val="24"/>
                <w:highlight w:val="none"/>
                <w:vertAlign w:val="baseline"/>
                <w:lang w:val="en-US" w:eastAsia="zh-CN"/>
              </w:rPr>
              <w:t>服务</w:t>
            </w:r>
            <w:r>
              <w:rPr>
                <w:rFonts w:hint="eastAsia" w:asciiTheme="minorEastAsia" w:hAnsiTheme="minorEastAsia" w:eastAsiaTheme="minorEastAsia" w:cstheme="minorEastAsia"/>
                <w:b/>
                <w:bCs w:val="0"/>
                <w:color w:val="auto"/>
                <w:sz w:val="24"/>
                <w:szCs w:val="24"/>
                <w:highlight w:val="none"/>
                <w:vertAlign w:val="baseline"/>
              </w:rPr>
              <w:t>器</w:t>
            </w:r>
          </w:p>
        </w:tc>
        <w:tc>
          <w:tcPr>
            <w:tcW w:w="7620" w:type="dxa"/>
          </w:tcPr>
          <w:p w14:paraId="3AEFCF8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eastAsia="zh-CN"/>
              </w:rPr>
              <w:t>1.</w:t>
            </w:r>
            <w:r>
              <w:rPr>
                <w:rFonts w:hint="eastAsia" w:asciiTheme="minorEastAsia" w:hAnsiTheme="minorEastAsia" w:eastAsiaTheme="minorEastAsia" w:cstheme="minorEastAsia"/>
                <w:bCs/>
                <w:color w:val="auto"/>
                <w:sz w:val="24"/>
                <w:szCs w:val="24"/>
                <w:highlight w:val="none"/>
                <w:vertAlign w:val="baseline"/>
              </w:rPr>
              <w:t>符合</w:t>
            </w:r>
            <w:r>
              <w:rPr>
                <w:rFonts w:hint="eastAsia" w:asciiTheme="minorEastAsia" w:hAnsiTheme="minorEastAsia" w:eastAsiaTheme="minorEastAsia" w:cstheme="minorEastAsia"/>
                <w:bCs/>
                <w:color w:val="auto"/>
                <w:sz w:val="24"/>
                <w:szCs w:val="24"/>
                <w:highlight w:val="none"/>
                <w:vertAlign w:val="baseline"/>
                <w:lang w:val="en-US" w:eastAsia="zh-CN"/>
              </w:rPr>
              <w:t>《GY/T 251—2011数字电影流动放映系统技术要求和测量方法》，</w:t>
            </w:r>
            <w:r>
              <w:rPr>
                <w:rFonts w:hint="eastAsia" w:asciiTheme="minorEastAsia" w:hAnsiTheme="minorEastAsia" w:eastAsiaTheme="minorEastAsia" w:cstheme="minorEastAsia"/>
                <w:bCs/>
                <w:color w:val="auto"/>
                <w:sz w:val="24"/>
                <w:szCs w:val="24"/>
                <w:highlight w:val="none"/>
                <w:vertAlign w:val="baseline"/>
              </w:rPr>
              <w:t>并且适用于农村公益电影放映；</w:t>
            </w:r>
          </w:p>
          <w:p w14:paraId="213D2A4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eastAsia="zh-CN"/>
              </w:rPr>
              <w:t>2.</w:t>
            </w:r>
            <w:r>
              <w:rPr>
                <w:rFonts w:hint="eastAsia" w:asciiTheme="minorEastAsia" w:hAnsiTheme="minorEastAsia" w:eastAsiaTheme="minorEastAsia" w:cstheme="minorEastAsia"/>
                <w:bCs/>
                <w:color w:val="auto"/>
                <w:sz w:val="24"/>
                <w:szCs w:val="24"/>
                <w:highlight w:val="none"/>
                <w:vertAlign w:val="baseline"/>
              </w:rPr>
              <w:t>配置板载TTL串口插针；</w:t>
            </w:r>
          </w:p>
          <w:p w14:paraId="3B094BF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3.</w:t>
            </w:r>
            <w:r>
              <w:rPr>
                <w:rFonts w:hint="eastAsia" w:asciiTheme="minorEastAsia" w:hAnsiTheme="minorEastAsia" w:eastAsiaTheme="minorEastAsia" w:cstheme="minorEastAsia"/>
                <w:bCs/>
                <w:color w:val="auto"/>
                <w:sz w:val="24"/>
                <w:szCs w:val="24"/>
                <w:highlight w:val="none"/>
                <w:vertAlign w:val="baseline"/>
              </w:rPr>
              <w:t>配置蓝牙模块，版本不低于4.2；1个RJ45有线网络接口</w:t>
            </w:r>
            <w:r>
              <w:rPr>
                <w:rFonts w:hint="eastAsia" w:asciiTheme="minorEastAsia" w:hAnsiTheme="minorEastAsia" w:cstheme="minorEastAsia"/>
                <w:bCs/>
                <w:color w:val="auto"/>
                <w:sz w:val="24"/>
                <w:szCs w:val="24"/>
                <w:highlight w:val="none"/>
                <w:vertAlign w:val="baseline"/>
                <w:lang w:eastAsia="zh-CN"/>
              </w:rPr>
              <w:t>，</w:t>
            </w:r>
            <w:r>
              <w:rPr>
                <w:rFonts w:hint="eastAsia" w:asciiTheme="minorEastAsia" w:hAnsiTheme="minorEastAsia" w:eastAsiaTheme="minorEastAsia" w:cstheme="minorEastAsia"/>
                <w:bCs/>
                <w:color w:val="auto"/>
                <w:sz w:val="24"/>
                <w:szCs w:val="24"/>
                <w:highlight w:val="none"/>
                <w:vertAlign w:val="baseline"/>
              </w:rPr>
              <w:t>无线网卡，支持标准IEEE 802.11 a/b/g/n/ac；</w:t>
            </w:r>
          </w:p>
          <w:p w14:paraId="466877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4.</w:t>
            </w:r>
            <w:r>
              <w:rPr>
                <w:rFonts w:hint="eastAsia" w:asciiTheme="minorEastAsia" w:hAnsiTheme="minorEastAsia" w:cstheme="minorEastAsia"/>
                <w:bCs/>
                <w:color w:val="auto"/>
                <w:sz w:val="24"/>
                <w:szCs w:val="24"/>
                <w:highlight w:val="none"/>
                <w:vertAlign w:val="baseline"/>
                <w:lang w:val="en-US" w:eastAsia="zh-CN"/>
              </w:rPr>
              <w:t>内置硬盘容量≥1T</w:t>
            </w:r>
            <w:r>
              <w:rPr>
                <w:rFonts w:hint="eastAsia" w:asciiTheme="minorEastAsia" w:hAnsiTheme="minorEastAsia" w:eastAsiaTheme="minorEastAsia" w:cstheme="minorEastAsia"/>
                <w:bCs/>
                <w:color w:val="auto"/>
                <w:sz w:val="24"/>
                <w:szCs w:val="24"/>
                <w:highlight w:val="none"/>
                <w:vertAlign w:val="baseline"/>
              </w:rPr>
              <w:t>；</w:t>
            </w:r>
          </w:p>
          <w:p w14:paraId="2F4F01F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5.</w:t>
            </w:r>
            <w:r>
              <w:rPr>
                <w:rFonts w:hint="eastAsia" w:asciiTheme="minorEastAsia" w:hAnsiTheme="minorEastAsia" w:eastAsiaTheme="minorEastAsia" w:cstheme="minorEastAsia"/>
                <w:bCs/>
                <w:color w:val="auto"/>
                <w:sz w:val="24"/>
                <w:szCs w:val="24"/>
                <w:highlight w:val="none"/>
                <w:vertAlign w:val="baseline"/>
              </w:rPr>
              <w:t>配</w:t>
            </w:r>
            <w:r>
              <w:rPr>
                <w:rFonts w:hint="eastAsia" w:asciiTheme="minorEastAsia" w:hAnsiTheme="minorEastAsia" w:eastAsiaTheme="minorEastAsia" w:cstheme="minorEastAsia"/>
                <w:bCs/>
                <w:color w:val="auto"/>
                <w:sz w:val="24"/>
                <w:szCs w:val="24"/>
                <w:highlight w:val="none"/>
                <w:vertAlign w:val="baseline"/>
                <w:lang w:val="en-US" w:eastAsia="zh-CN"/>
              </w:rPr>
              <w:t>置中国移动、中国电信、中国联通4G/5G</w:t>
            </w:r>
            <w:r>
              <w:rPr>
                <w:rFonts w:hint="eastAsia" w:asciiTheme="minorEastAsia" w:hAnsiTheme="minorEastAsia" w:eastAsiaTheme="minorEastAsia" w:cstheme="minorEastAsia"/>
                <w:bCs/>
                <w:color w:val="auto"/>
                <w:sz w:val="24"/>
                <w:szCs w:val="24"/>
                <w:highlight w:val="none"/>
                <w:vertAlign w:val="baseline"/>
              </w:rPr>
              <w:t>通讯模块</w:t>
            </w:r>
            <w:r>
              <w:rPr>
                <w:rFonts w:hint="eastAsia" w:asciiTheme="minorEastAsia" w:hAnsiTheme="minorEastAsia" w:eastAsiaTheme="minorEastAsia" w:cstheme="minorEastAsia"/>
                <w:bCs/>
                <w:color w:val="auto"/>
                <w:sz w:val="24"/>
                <w:szCs w:val="24"/>
                <w:highlight w:val="none"/>
                <w:vertAlign w:val="baseline"/>
                <w:lang w:val="en-US" w:eastAsia="zh-CN"/>
              </w:rPr>
              <w:t>和</w:t>
            </w:r>
            <w:r>
              <w:rPr>
                <w:rFonts w:hint="eastAsia" w:asciiTheme="minorEastAsia" w:hAnsiTheme="minorEastAsia" w:eastAsiaTheme="minorEastAsia" w:cstheme="minorEastAsia"/>
                <w:bCs/>
                <w:color w:val="auto"/>
                <w:sz w:val="24"/>
                <w:szCs w:val="24"/>
                <w:highlight w:val="none"/>
                <w:vertAlign w:val="baseline"/>
              </w:rPr>
              <w:t>定位模块；</w:t>
            </w:r>
          </w:p>
          <w:p w14:paraId="37C0264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6.</w:t>
            </w:r>
            <w:r>
              <w:rPr>
                <w:rFonts w:hint="eastAsia" w:asciiTheme="minorEastAsia" w:hAnsiTheme="minorEastAsia" w:eastAsiaTheme="minorEastAsia" w:cstheme="minorEastAsia"/>
                <w:bCs/>
                <w:color w:val="auto"/>
                <w:sz w:val="24"/>
                <w:szCs w:val="24"/>
                <w:highlight w:val="none"/>
                <w:vertAlign w:val="baseline"/>
              </w:rPr>
              <w:t>配置HDMI接口，版本不低于1.4；</w:t>
            </w:r>
          </w:p>
          <w:p w14:paraId="43FD9C5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7.</w:t>
            </w:r>
            <w:r>
              <w:rPr>
                <w:rFonts w:hint="eastAsia" w:asciiTheme="minorEastAsia" w:hAnsiTheme="minorEastAsia" w:eastAsiaTheme="minorEastAsia" w:cstheme="minorEastAsia"/>
                <w:bCs/>
                <w:color w:val="auto"/>
                <w:sz w:val="24"/>
                <w:szCs w:val="24"/>
                <w:highlight w:val="none"/>
                <w:vertAlign w:val="baseline"/>
              </w:rPr>
              <w:t>配置数字音频输出接口，支持5.1声道输出；模拟音频输出接口，支持立体声与5.1声道输出；</w:t>
            </w:r>
          </w:p>
          <w:p w14:paraId="248BC57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8.</w:t>
            </w:r>
            <w:r>
              <w:rPr>
                <w:rFonts w:hint="eastAsia" w:asciiTheme="minorEastAsia" w:hAnsiTheme="minorEastAsia" w:eastAsiaTheme="minorEastAsia" w:cstheme="minorEastAsia"/>
                <w:bCs/>
                <w:color w:val="auto"/>
                <w:sz w:val="24"/>
                <w:szCs w:val="24"/>
                <w:highlight w:val="none"/>
                <w:vertAlign w:val="baseline"/>
              </w:rPr>
              <w:t>图像格式可支持</w:t>
            </w:r>
            <w:r>
              <w:rPr>
                <w:rFonts w:hint="eastAsia" w:asciiTheme="minorEastAsia" w:hAnsiTheme="minorEastAsia" w:eastAsiaTheme="minorEastAsia" w:cstheme="minorEastAsia"/>
                <w:bCs/>
                <w:color w:val="auto"/>
                <w:sz w:val="24"/>
                <w:szCs w:val="24"/>
                <w:highlight w:val="none"/>
                <w:vertAlign w:val="baseline"/>
                <w:lang w:val="en-US" w:eastAsia="zh-CN"/>
              </w:rPr>
              <w:t>1920×1080/50i或1920×1080/60i；</w:t>
            </w:r>
          </w:p>
          <w:p w14:paraId="5F0247B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9.</w:t>
            </w:r>
            <w:r>
              <w:rPr>
                <w:rFonts w:hint="eastAsia" w:asciiTheme="minorEastAsia" w:hAnsiTheme="minorEastAsia" w:eastAsiaTheme="minorEastAsia" w:cstheme="minorEastAsia"/>
                <w:bCs/>
                <w:color w:val="auto"/>
                <w:sz w:val="24"/>
                <w:szCs w:val="24"/>
                <w:highlight w:val="none"/>
                <w:vertAlign w:val="baseline"/>
              </w:rPr>
              <w:t>支持4k 60帧 H.265/HEVC视频解码；</w:t>
            </w:r>
          </w:p>
          <w:p w14:paraId="0913248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eastAsia="zh-CN"/>
              </w:rPr>
              <w:t>10.</w:t>
            </w:r>
            <w:r>
              <w:rPr>
                <w:rFonts w:hint="eastAsia" w:asciiTheme="minorEastAsia" w:hAnsiTheme="minorEastAsia" w:eastAsiaTheme="minorEastAsia" w:cstheme="minorEastAsia"/>
                <w:bCs/>
                <w:color w:val="auto"/>
                <w:sz w:val="24"/>
                <w:szCs w:val="24"/>
                <w:highlight w:val="none"/>
                <w:vertAlign w:val="baseline"/>
              </w:rPr>
              <w:t>支持音频格式</w:t>
            </w:r>
            <w:r>
              <w:rPr>
                <w:rFonts w:hint="eastAsia" w:asciiTheme="minorEastAsia" w:hAnsiTheme="minorEastAsia" w:eastAsiaTheme="minorEastAsia" w:cstheme="minorEastAsia"/>
                <w:bCs/>
                <w:color w:val="auto"/>
                <w:sz w:val="24"/>
                <w:szCs w:val="24"/>
                <w:highlight w:val="none"/>
                <w:vertAlign w:val="baseline"/>
                <w:lang w:eastAsia="zh-CN"/>
              </w:rPr>
              <w:t>包括但不限于</w:t>
            </w:r>
            <w:r>
              <w:rPr>
                <w:rFonts w:hint="eastAsia" w:asciiTheme="minorEastAsia" w:hAnsiTheme="minorEastAsia" w:eastAsiaTheme="minorEastAsia" w:cstheme="minorEastAsia"/>
                <w:bCs/>
                <w:color w:val="auto"/>
                <w:sz w:val="24"/>
                <w:szCs w:val="24"/>
                <w:highlight w:val="none"/>
                <w:vertAlign w:val="baseline"/>
              </w:rPr>
              <w:t xml:space="preserve"> PCM、AAC、AC3；</w:t>
            </w:r>
          </w:p>
          <w:p w14:paraId="483C37F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eastAsia="zh-CN"/>
              </w:rPr>
              <w:t>11.</w:t>
            </w:r>
            <w:r>
              <w:rPr>
                <w:rFonts w:hint="eastAsia" w:asciiTheme="minorEastAsia" w:hAnsiTheme="minorEastAsia" w:eastAsiaTheme="minorEastAsia" w:cstheme="minorEastAsia"/>
                <w:bCs/>
                <w:color w:val="auto"/>
                <w:sz w:val="24"/>
                <w:szCs w:val="24"/>
                <w:highlight w:val="none"/>
                <w:vertAlign w:val="baseline"/>
                <w:lang w:val="en-US" w:eastAsia="zh-CN"/>
              </w:rPr>
              <w:t>支持移动网络/有线网络/无线网络的影片导入，支持外接硬盘或U盘导入节目和授权</w:t>
            </w:r>
            <w:r>
              <w:rPr>
                <w:rFonts w:hint="eastAsia" w:asciiTheme="minorEastAsia" w:hAnsiTheme="minorEastAsia" w:cstheme="minorEastAsia"/>
                <w:bCs/>
                <w:color w:val="auto"/>
                <w:sz w:val="24"/>
                <w:szCs w:val="24"/>
                <w:highlight w:val="none"/>
                <w:vertAlign w:val="baseline"/>
                <w:lang w:val="en-US" w:eastAsia="zh-CN"/>
              </w:rPr>
              <w:t>，</w:t>
            </w:r>
            <w:r>
              <w:rPr>
                <w:rFonts w:hint="eastAsia" w:asciiTheme="minorEastAsia" w:hAnsiTheme="minorEastAsia" w:eastAsiaTheme="minorEastAsia" w:cstheme="minorEastAsia"/>
                <w:bCs/>
                <w:color w:val="auto"/>
                <w:sz w:val="24"/>
                <w:szCs w:val="24"/>
                <w:highlight w:val="none"/>
                <w:vertAlign w:val="baseline"/>
                <w:lang w:val="en-US" w:eastAsia="zh-CN"/>
              </w:rPr>
              <w:t>外接存储格式支持NTFS、FAT32、exFAT、Ext4</w:t>
            </w:r>
            <w:r>
              <w:rPr>
                <w:rFonts w:hint="eastAsia" w:asciiTheme="minorEastAsia" w:hAnsiTheme="minorEastAsia" w:cstheme="minorEastAsia"/>
                <w:bCs/>
                <w:color w:val="auto"/>
                <w:sz w:val="24"/>
                <w:szCs w:val="24"/>
                <w:highlight w:val="none"/>
                <w:vertAlign w:val="baseline"/>
                <w:lang w:val="en-US" w:eastAsia="zh-CN"/>
              </w:rPr>
              <w:t>等</w:t>
            </w:r>
            <w:r>
              <w:rPr>
                <w:rFonts w:hint="eastAsia" w:asciiTheme="minorEastAsia" w:hAnsiTheme="minorEastAsia" w:eastAsiaTheme="minorEastAsia" w:cstheme="minorEastAsia"/>
                <w:bCs/>
                <w:color w:val="auto"/>
                <w:sz w:val="24"/>
                <w:szCs w:val="24"/>
                <w:highlight w:val="none"/>
                <w:vertAlign w:val="baseline"/>
                <w:lang w:val="en-US" w:eastAsia="zh-CN"/>
              </w:rPr>
              <w:t>，支持断点续播功能；</w:t>
            </w:r>
          </w:p>
          <w:p w14:paraId="6147BA9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12.影片预览功能，播放器可以对节目进行10分钟预览，预览不扣场次；</w:t>
            </w:r>
          </w:p>
          <w:p w14:paraId="1D0C114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13.具备互联网自动校时功能；</w:t>
            </w:r>
          </w:p>
          <w:p w14:paraId="31E8008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rPr>
            </w:pPr>
            <w:r>
              <w:rPr>
                <w:rFonts w:hint="eastAsia" w:asciiTheme="minorEastAsia" w:hAnsiTheme="minorEastAsia" w:eastAsiaTheme="minorEastAsia" w:cstheme="minorEastAsia"/>
                <w:bCs/>
                <w:color w:val="auto"/>
                <w:sz w:val="24"/>
                <w:szCs w:val="24"/>
                <w:highlight w:val="none"/>
                <w:vertAlign w:val="baseline"/>
                <w:lang w:val="en-US" w:eastAsia="zh-CN"/>
              </w:rPr>
              <w:t>14.</w:t>
            </w:r>
            <w:r>
              <w:rPr>
                <w:rFonts w:hint="eastAsia" w:asciiTheme="minorEastAsia" w:hAnsiTheme="minorEastAsia" w:eastAsiaTheme="minorEastAsia" w:cstheme="minorEastAsia"/>
                <w:bCs/>
                <w:color w:val="auto"/>
                <w:sz w:val="24"/>
                <w:szCs w:val="24"/>
                <w:highlight w:val="none"/>
                <w:vertAlign w:val="baseline"/>
              </w:rPr>
              <w:t>已经完成与</w:t>
            </w:r>
            <w:r>
              <w:rPr>
                <w:rFonts w:hint="eastAsia" w:asciiTheme="minorEastAsia" w:hAnsiTheme="minorEastAsia" w:eastAsiaTheme="minorEastAsia" w:cstheme="minorEastAsia"/>
                <w:bCs/>
                <w:color w:val="auto"/>
                <w:sz w:val="24"/>
                <w:szCs w:val="24"/>
                <w:highlight w:val="none"/>
                <w:vertAlign w:val="baseline"/>
                <w:lang w:val="en-US" w:eastAsia="zh-CN"/>
              </w:rPr>
              <w:t>中宣部电影数字节目交易平台注册及</w:t>
            </w:r>
            <w:r>
              <w:rPr>
                <w:rFonts w:hint="eastAsia" w:asciiTheme="minorEastAsia" w:hAnsiTheme="minorEastAsia" w:eastAsiaTheme="minorEastAsia" w:cstheme="minorEastAsia"/>
                <w:bCs/>
                <w:color w:val="auto"/>
                <w:sz w:val="24"/>
                <w:szCs w:val="24"/>
                <w:highlight w:val="none"/>
                <w:vertAlign w:val="baseline"/>
              </w:rPr>
              <w:t>对接，或承诺</w:t>
            </w:r>
            <w:r>
              <w:rPr>
                <w:rFonts w:hint="eastAsia" w:asciiTheme="minorEastAsia" w:hAnsiTheme="minorEastAsia" w:eastAsiaTheme="minorEastAsia" w:cstheme="minorEastAsia"/>
                <w:bCs/>
                <w:color w:val="auto"/>
                <w:sz w:val="24"/>
                <w:szCs w:val="24"/>
                <w:highlight w:val="none"/>
                <w:vertAlign w:val="baseline"/>
                <w:lang w:val="en-US" w:eastAsia="zh-CN"/>
              </w:rPr>
              <w:t>签订合同</w:t>
            </w:r>
            <w:r>
              <w:rPr>
                <w:rFonts w:hint="eastAsia" w:asciiTheme="minorEastAsia" w:hAnsiTheme="minorEastAsia" w:eastAsiaTheme="minorEastAsia" w:cstheme="minorEastAsia"/>
                <w:bCs/>
                <w:color w:val="auto"/>
                <w:sz w:val="24"/>
                <w:szCs w:val="24"/>
                <w:highlight w:val="none"/>
                <w:vertAlign w:val="baseline"/>
              </w:rPr>
              <w:t>后一个月内完成</w:t>
            </w:r>
            <w:r>
              <w:rPr>
                <w:rFonts w:hint="eastAsia" w:asciiTheme="minorEastAsia" w:hAnsiTheme="minorEastAsia" w:eastAsiaTheme="minorEastAsia" w:cstheme="minorEastAsia"/>
                <w:bCs/>
                <w:color w:val="auto"/>
                <w:sz w:val="24"/>
                <w:szCs w:val="24"/>
                <w:highlight w:val="none"/>
                <w:vertAlign w:val="baseline"/>
                <w:lang w:val="en-US" w:eastAsia="zh-CN"/>
              </w:rPr>
              <w:t>注册及</w:t>
            </w:r>
            <w:r>
              <w:rPr>
                <w:rFonts w:hint="eastAsia" w:asciiTheme="minorEastAsia" w:hAnsiTheme="minorEastAsia" w:eastAsiaTheme="minorEastAsia" w:cstheme="minorEastAsia"/>
                <w:bCs/>
                <w:color w:val="auto"/>
                <w:sz w:val="24"/>
                <w:szCs w:val="24"/>
                <w:highlight w:val="none"/>
                <w:vertAlign w:val="baseline"/>
              </w:rPr>
              <w:t>对接，具备包括但不限于以下基本功能：影片</w:t>
            </w:r>
            <w:r>
              <w:rPr>
                <w:rFonts w:hint="eastAsia" w:asciiTheme="minorEastAsia" w:hAnsiTheme="minorEastAsia" w:eastAsiaTheme="minorEastAsia" w:cstheme="minorEastAsia"/>
                <w:bCs/>
                <w:color w:val="auto"/>
                <w:sz w:val="24"/>
                <w:szCs w:val="24"/>
                <w:highlight w:val="none"/>
                <w:vertAlign w:val="baseline"/>
                <w:lang w:val="en-US" w:eastAsia="zh-CN"/>
              </w:rPr>
              <w:t>订购、</w:t>
            </w:r>
            <w:r>
              <w:rPr>
                <w:rFonts w:hint="eastAsia" w:asciiTheme="minorEastAsia" w:hAnsiTheme="minorEastAsia" w:eastAsiaTheme="minorEastAsia" w:cstheme="minorEastAsia"/>
                <w:bCs/>
                <w:color w:val="auto"/>
                <w:sz w:val="24"/>
                <w:szCs w:val="24"/>
                <w:highlight w:val="none"/>
                <w:vertAlign w:val="baseline"/>
              </w:rPr>
              <w:t>下载、播放</w:t>
            </w:r>
            <w:r>
              <w:rPr>
                <w:rFonts w:hint="eastAsia" w:asciiTheme="minorEastAsia" w:hAnsiTheme="minorEastAsia" w:eastAsiaTheme="minorEastAsia" w:cstheme="minorEastAsia"/>
                <w:bCs/>
                <w:color w:val="auto"/>
                <w:sz w:val="24"/>
                <w:szCs w:val="24"/>
                <w:highlight w:val="none"/>
                <w:vertAlign w:val="baseline"/>
                <w:lang w:eastAsia="zh-CN"/>
              </w:rPr>
              <w:t>，</w:t>
            </w:r>
            <w:r>
              <w:rPr>
                <w:rFonts w:hint="eastAsia" w:asciiTheme="minorEastAsia" w:hAnsiTheme="minorEastAsia" w:eastAsiaTheme="minorEastAsia" w:cstheme="minorEastAsia"/>
                <w:bCs/>
                <w:color w:val="auto"/>
                <w:sz w:val="24"/>
                <w:szCs w:val="24"/>
                <w:highlight w:val="none"/>
                <w:vertAlign w:val="baseline"/>
                <w:lang w:val="en-US" w:eastAsia="zh-CN"/>
              </w:rPr>
              <w:t>播放信息上传至中影</w:t>
            </w:r>
            <w:r>
              <w:rPr>
                <w:rFonts w:hint="eastAsia" w:asciiTheme="minorEastAsia" w:hAnsiTheme="minorEastAsia" w:eastAsiaTheme="minorEastAsia" w:cstheme="minorEastAsia"/>
                <w:bCs/>
                <w:color w:val="auto"/>
                <w:sz w:val="24"/>
                <w:szCs w:val="24"/>
                <w:highlight w:val="none"/>
                <w:vertAlign w:val="baseline"/>
                <w:lang w:eastAsia="zh-CN"/>
              </w:rPr>
              <w:t>农村放映服务平台</w:t>
            </w:r>
            <w:r>
              <w:rPr>
                <w:rFonts w:hint="eastAsia" w:asciiTheme="minorEastAsia" w:hAnsiTheme="minorEastAsia" w:eastAsiaTheme="minorEastAsia" w:cstheme="minorEastAsia"/>
                <w:bCs/>
                <w:color w:val="auto"/>
                <w:sz w:val="24"/>
                <w:szCs w:val="24"/>
                <w:highlight w:val="none"/>
                <w:vertAlign w:val="baseline"/>
              </w:rPr>
              <w:t>；</w:t>
            </w:r>
          </w:p>
          <w:p w14:paraId="70E74EF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Cs/>
                <w:color w:val="auto"/>
                <w:sz w:val="24"/>
                <w:szCs w:val="24"/>
                <w:highlight w:val="none"/>
                <w:vertAlign w:val="baseline"/>
                <w:lang w:eastAsia="zh-CN"/>
              </w:rPr>
              <w:t>15.</w:t>
            </w:r>
            <w:r>
              <w:rPr>
                <w:rFonts w:hint="eastAsia" w:asciiTheme="minorEastAsia" w:hAnsiTheme="minorEastAsia" w:eastAsiaTheme="minorEastAsia" w:cstheme="minorEastAsia"/>
                <w:bCs/>
                <w:color w:val="auto"/>
                <w:sz w:val="24"/>
                <w:szCs w:val="24"/>
                <w:highlight w:val="none"/>
                <w:vertAlign w:val="baseline"/>
              </w:rPr>
              <w:t>支持</w:t>
            </w:r>
            <w:r>
              <w:rPr>
                <w:rFonts w:hint="eastAsia" w:asciiTheme="minorEastAsia" w:hAnsiTheme="minorEastAsia" w:eastAsiaTheme="minorEastAsia" w:cstheme="minorEastAsia"/>
                <w:bCs/>
                <w:color w:val="auto"/>
                <w:sz w:val="24"/>
                <w:szCs w:val="24"/>
                <w:highlight w:val="none"/>
                <w:vertAlign w:val="baseline"/>
                <w:lang w:val="en-US" w:eastAsia="zh-CN"/>
              </w:rPr>
              <w:t>智能手机</w:t>
            </w:r>
            <w:r>
              <w:rPr>
                <w:rFonts w:hint="eastAsia" w:asciiTheme="minorEastAsia" w:hAnsiTheme="minorEastAsia" w:eastAsiaTheme="minorEastAsia" w:cstheme="minorEastAsia"/>
                <w:bCs/>
                <w:color w:val="auto"/>
                <w:sz w:val="24"/>
                <w:szCs w:val="24"/>
                <w:highlight w:val="none"/>
                <w:vertAlign w:val="baseline"/>
              </w:rPr>
              <w:t>进行影片</w:t>
            </w:r>
            <w:r>
              <w:rPr>
                <w:rFonts w:hint="eastAsia" w:asciiTheme="minorEastAsia" w:hAnsiTheme="minorEastAsia" w:eastAsiaTheme="minorEastAsia" w:cstheme="minorEastAsia"/>
                <w:bCs/>
                <w:color w:val="auto"/>
                <w:sz w:val="24"/>
                <w:szCs w:val="24"/>
                <w:highlight w:val="none"/>
                <w:vertAlign w:val="baseline"/>
                <w:lang w:val="en-US" w:eastAsia="zh-CN"/>
              </w:rPr>
              <w:t>订购</w:t>
            </w:r>
            <w:r>
              <w:rPr>
                <w:rFonts w:hint="eastAsia" w:asciiTheme="minorEastAsia" w:hAnsiTheme="minorEastAsia" w:eastAsiaTheme="minorEastAsia" w:cstheme="minorEastAsia"/>
                <w:bCs/>
                <w:color w:val="auto"/>
                <w:sz w:val="24"/>
                <w:szCs w:val="24"/>
                <w:highlight w:val="none"/>
                <w:vertAlign w:val="baseline"/>
                <w:lang w:eastAsia="zh-CN"/>
              </w:rPr>
              <w:t>。</w:t>
            </w:r>
          </w:p>
        </w:tc>
      </w:tr>
      <w:tr w14:paraId="78A3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55DA68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Cs/>
                <w:color w:val="auto"/>
                <w:sz w:val="24"/>
                <w:szCs w:val="24"/>
                <w:highlight w:val="none"/>
                <w:vertAlign w:val="baseline"/>
                <w:lang w:val="en-US" w:eastAsia="zh-CN"/>
              </w:rPr>
              <w:t>2</w:t>
            </w:r>
          </w:p>
        </w:tc>
        <w:tc>
          <w:tcPr>
            <w:tcW w:w="1210" w:type="dxa"/>
            <w:vAlign w:val="center"/>
          </w:tcPr>
          <w:p w14:paraId="04FDAB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激光</w:t>
            </w:r>
          </w:p>
          <w:p w14:paraId="254D93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投影仪</w:t>
            </w:r>
          </w:p>
        </w:tc>
        <w:tc>
          <w:tcPr>
            <w:tcW w:w="7620" w:type="dxa"/>
          </w:tcPr>
          <w:p w14:paraId="6B194382">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1.</w:t>
            </w:r>
            <w:r>
              <w:rPr>
                <w:rFonts w:hint="eastAsia" w:asciiTheme="minorEastAsia" w:hAnsiTheme="minorEastAsia" w:eastAsiaTheme="minorEastAsia" w:cstheme="minorEastAsia"/>
                <w:color w:val="auto"/>
                <w:kern w:val="0"/>
                <w:sz w:val="24"/>
                <w:szCs w:val="24"/>
                <w:highlight w:val="none"/>
              </w:rPr>
              <w:t>符合</w:t>
            </w:r>
            <w:r>
              <w:rPr>
                <w:rFonts w:hint="eastAsia" w:asciiTheme="minorEastAsia" w:hAnsiTheme="minorEastAsia" w:eastAsiaTheme="minorEastAsia" w:cstheme="minorEastAsia"/>
                <w:bCs/>
                <w:color w:val="auto"/>
                <w:sz w:val="24"/>
                <w:szCs w:val="24"/>
                <w:highlight w:val="none"/>
                <w:vertAlign w:val="baseline"/>
                <w:lang w:val="en-US" w:eastAsia="zh-CN"/>
              </w:rPr>
              <w:t>《GY/T 251—2011数字电影流动放映系统技术要求和测量方法》和《GY/T 250-2011数字电影流动放映系统用投影机技术要求和测量方法》，并且适用于</w:t>
            </w:r>
            <w:r>
              <w:rPr>
                <w:rFonts w:hint="eastAsia" w:asciiTheme="minorEastAsia" w:hAnsiTheme="minorEastAsia" w:eastAsiaTheme="minorEastAsia" w:cstheme="minorEastAsia"/>
                <w:color w:val="auto"/>
                <w:kern w:val="0"/>
                <w:sz w:val="24"/>
                <w:szCs w:val="24"/>
                <w:highlight w:val="none"/>
              </w:rPr>
              <w:t>农村公益电影放映。</w:t>
            </w:r>
          </w:p>
          <w:p w14:paraId="3372154F">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2.</w:t>
            </w:r>
            <w:r>
              <w:rPr>
                <w:rFonts w:hint="eastAsia" w:asciiTheme="minorEastAsia" w:hAnsiTheme="minorEastAsia" w:eastAsiaTheme="minorEastAsia" w:cstheme="minorEastAsia"/>
                <w:color w:val="auto"/>
                <w:kern w:val="0"/>
                <w:sz w:val="24"/>
                <w:szCs w:val="24"/>
                <w:highlight w:val="none"/>
              </w:rPr>
              <w:t>采用激光光源</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亮度不小于4000</w:t>
            </w:r>
            <w:r>
              <w:rPr>
                <w:rFonts w:hint="eastAsia" w:asciiTheme="minorEastAsia" w:hAnsiTheme="minorEastAsia" w:cstheme="minorEastAsia"/>
                <w:color w:val="auto"/>
                <w:kern w:val="0"/>
                <w:sz w:val="24"/>
                <w:szCs w:val="24"/>
                <w:highlight w:val="none"/>
                <w:lang w:val="en-US" w:eastAsia="zh-CN"/>
              </w:rPr>
              <w:t>流明</w:t>
            </w:r>
            <w:r>
              <w:rPr>
                <w:rFonts w:hint="eastAsia" w:asciiTheme="minorEastAsia" w:hAnsiTheme="minorEastAsia" w:eastAsiaTheme="minorEastAsia" w:cstheme="minorEastAsia"/>
                <w:color w:val="auto"/>
                <w:kern w:val="0"/>
                <w:sz w:val="24"/>
                <w:szCs w:val="24"/>
                <w:highlight w:val="none"/>
              </w:rPr>
              <w:t>；</w:t>
            </w:r>
          </w:p>
          <w:p w14:paraId="0F303347">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分辨率≥1920×1080</w:t>
            </w:r>
            <w:r>
              <w:rPr>
                <w:rFonts w:hint="eastAsia" w:asciiTheme="minorEastAsia" w:hAnsiTheme="minorEastAsia" w:eastAsiaTheme="minorEastAsia" w:cstheme="minorEastAsia"/>
                <w:color w:val="auto"/>
                <w:kern w:val="0"/>
                <w:sz w:val="24"/>
                <w:szCs w:val="24"/>
                <w:highlight w:val="none"/>
                <w:lang w:eastAsia="zh-CN"/>
              </w:rPr>
              <w:t>；</w:t>
            </w:r>
          </w:p>
          <w:p w14:paraId="0C5DAFF2">
            <w:pPr>
              <w:keepNext w:val="0"/>
              <w:keepLines w:val="0"/>
              <w:pageBreakBefore w:val="0"/>
              <w:tabs>
                <w:tab w:val="left" w:pos="2472"/>
              </w:tabs>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4.</w:t>
            </w:r>
            <w:r>
              <w:rPr>
                <w:rFonts w:hint="eastAsia" w:asciiTheme="minorEastAsia" w:hAnsiTheme="minorEastAsia" w:eastAsiaTheme="minorEastAsia" w:cstheme="minorEastAsia"/>
                <w:color w:val="auto"/>
                <w:kern w:val="0"/>
                <w:sz w:val="24"/>
                <w:szCs w:val="24"/>
                <w:highlight w:val="none"/>
              </w:rPr>
              <w:t>宽高比16:9；</w:t>
            </w:r>
          </w:p>
          <w:p w14:paraId="4990B9AB">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5.</w:t>
            </w:r>
            <w:r>
              <w:rPr>
                <w:rFonts w:hint="eastAsia" w:asciiTheme="minorEastAsia" w:hAnsiTheme="minorEastAsia" w:eastAsiaTheme="minorEastAsia" w:cstheme="minorEastAsia"/>
                <w:color w:val="auto"/>
                <w:kern w:val="0"/>
                <w:sz w:val="24"/>
                <w:szCs w:val="24"/>
                <w:highlight w:val="none"/>
              </w:rPr>
              <w:t>光源寿命≥20000小时</w:t>
            </w:r>
            <w:r>
              <w:rPr>
                <w:rFonts w:hint="eastAsia" w:asciiTheme="minorEastAsia" w:hAnsiTheme="minorEastAsia" w:eastAsiaTheme="minorEastAsia" w:cstheme="minorEastAsia"/>
                <w:bCs/>
                <w:color w:val="auto"/>
                <w:sz w:val="24"/>
                <w:szCs w:val="24"/>
                <w:highlight w:val="none"/>
                <w:vertAlign w:val="baseline"/>
                <w:lang w:eastAsia="zh-CN"/>
              </w:rPr>
              <w:t>。</w:t>
            </w:r>
          </w:p>
        </w:tc>
      </w:tr>
      <w:tr w14:paraId="1C51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352A79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Cs/>
                <w:color w:val="auto"/>
                <w:sz w:val="24"/>
                <w:szCs w:val="24"/>
                <w:highlight w:val="none"/>
                <w:vertAlign w:val="baseline"/>
                <w:lang w:val="en-US" w:eastAsia="zh-CN"/>
              </w:rPr>
              <w:t>3</w:t>
            </w:r>
          </w:p>
        </w:tc>
        <w:tc>
          <w:tcPr>
            <w:tcW w:w="1210" w:type="dxa"/>
            <w:shd w:val="clear" w:color="auto" w:fill="auto"/>
            <w:vAlign w:val="center"/>
          </w:tcPr>
          <w:p w14:paraId="37552C89">
            <w:pPr>
              <w:keepNext w:val="0"/>
              <w:keepLines w:val="0"/>
              <w:pageBreakBefore w:val="0"/>
              <w:kinsoku/>
              <w:wordWrap/>
              <w:overflowPunct/>
              <w:topLinePunct w:val="0"/>
              <w:autoSpaceDE w:val="0"/>
              <w:autoSpaceDN w:val="0"/>
              <w:bidi w:val="0"/>
              <w:adjustRightInd w:val="0"/>
              <w:snapToGrid/>
              <w:spacing w:line="300" w:lineRule="exact"/>
              <w:jc w:val="both"/>
              <w:textAlignment w:val="auto"/>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功率</w:t>
            </w:r>
          </w:p>
          <w:p w14:paraId="2869D6F1">
            <w:pPr>
              <w:keepNext w:val="0"/>
              <w:keepLines w:val="0"/>
              <w:pageBreakBefore w:val="0"/>
              <w:kinsoku/>
              <w:wordWrap/>
              <w:overflowPunct/>
              <w:topLinePunct w:val="0"/>
              <w:autoSpaceDE w:val="0"/>
              <w:autoSpaceDN w:val="0"/>
              <w:bidi w:val="0"/>
              <w:adjustRightInd w:val="0"/>
              <w:snapToGrid/>
              <w:spacing w:line="300" w:lineRule="exact"/>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vertAlign w:val="baseline"/>
                <w:lang w:val="en-US" w:eastAsia="zh-CN"/>
              </w:rPr>
              <w:t>放大器</w:t>
            </w:r>
          </w:p>
        </w:tc>
        <w:tc>
          <w:tcPr>
            <w:tcW w:w="7620" w:type="dxa"/>
            <w:shd w:val="clear" w:color="auto" w:fill="auto"/>
            <w:vAlign w:val="top"/>
          </w:tcPr>
          <w:p w14:paraId="0CD8AC4C">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1.</w:t>
            </w:r>
            <w:r>
              <w:rPr>
                <w:rFonts w:hint="eastAsia" w:asciiTheme="minorEastAsia" w:hAnsiTheme="minorEastAsia" w:eastAsiaTheme="minorEastAsia" w:cstheme="minorEastAsia"/>
                <w:color w:val="auto"/>
                <w:kern w:val="0"/>
                <w:sz w:val="24"/>
                <w:szCs w:val="24"/>
                <w:highlight w:val="none"/>
              </w:rPr>
              <w:t>符合</w:t>
            </w:r>
            <w:r>
              <w:rPr>
                <w:rFonts w:hint="eastAsia" w:asciiTheme="minorEastAsia" w:hAnsiTheme="minorEastAsia" w:eastAsiaTheme="minorEastAsia" w:cstheme="minorEastAsia"/>
                <w:bCs/>
                <w:color w:val="auto"/>
                <w:sz w:val="24"/>
                <w:szCs w:val="24"/>
                <w:highlight w:val="none"/>
                <w:vertAlign w:val="baseline"/>
                <w:lang w:val="en-US" w:eastAsia="zh-CN"/>
              </w:rPr>
              <w:t>《GY/T 251—2011数字电影流动放映系统技术要求和测量方法》</w:t>
            </w:r>
            <w:r>
              <w:rPr>
                <w:rFonts w:hint="eastAsia" w:asciiTheme="minorEastAsia" w:hAnsiTheme="minorEastAsia" w:eastAsiaTheme="minorEastAsia" w:cstheme="minorEastAsia"/>
                <w:color w:val="auto"/>
                <w:kern w:val="0"/>
                <w:sz w:val="24"/>
                <w:szCs w:val="24"/>
                <w:highlight w:val="none"/>
              </w:rPr>
              <w:t>，并且适用于农村公益电影放映；</w:t>
            </w:r>
          </w:p>
          <w:p w14:paraId="6F4F1DBE">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2.</w:t>
            </w:r>
            <w:r>
              <w:rPr>
                <w:rFonts w:hint="eastAsia" w:asciiTheme="minorEastAsia" w:hAnsiTheme="minorEastAsia" w:eastAsiaTheme="minorEastAsia" w:cstheme="minorEastAsia"/>
                <w:color w:val="auto"/>
                <w:kern w:val="0"/>
                <w:sz w:val="24"/>
                <w:szCs w:val="24"/>
                <w:highlight w:val="none"/>
              </w:rPr>
              <w:t>额定输出功率：≥2×200W/8Ω</w:t>
            </w:r>
            <w:r>
              <w:rPr>
                <w:rFonts w:hint="eastAsia" w:asciiTheme="minorEastAsia" w:hAnsiTheme="minorEastAsia" w:eastAsiaTheme="minorEastAsia" w:cstheme="minorEastAsia"/>
                <w:color w:val="auto"/>
                <w:kern w:val="0"/>
                <w:sz w:val="24"/>
                <w:szCs w:val="24"/>
                <w:highlight w:val="none"/>
                <w:lang w:eastAsia="zh-CN"/>
              </w:rPr>
              <w:t>；</w:t>
            </w:r>
          </w:p>
          <w:p w14:paraId="698411CE">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3.</w:t>
            </w:r>
            <w:r>
              <w:rPr>
                <w:rFonts w:hint="eastAsia" w:asciiTheme="minorEastAsia" w:hAnsiTheme="minorEastAsia" w:eastAsiaTheme="minorEastAsia" w:cstheme="minorEastAsia"/>
                <w:color w:val="auto"/>
                <w:kern w:val="0"/>
                <w:sz w:val="24"/>
                <w:szCs w:val="24"/>
                <w:highlight w:val="none"/>
              </w:rPr>
              <w:t>总谐波失真系数：≤1%</w:t>
            </w:r>
            <w:r>
              <w:rPr>
                <w:rFonts w:hint="eastAsia" w:asciiTheme="minorEastAsia" w:hAnsiTheme="minorEastAsia" w:eastAsiaTheme="minorEastAsia" w:cstheme="minorEastAsia"/>
                <w:color w:val="auto"/>
                <w:kern w:val="0"/>
                <w:sz w:val="24"/>
                <w:szCs w:val="24"/>
                <w:highlight w:val="none"/>
                <w:lang w:eastAsia="zh-CN"/>
              </w:rPr>
              <w:t>；</w:t>
            </w:r>
          </w:p>
          <w:p w14:paraId="1DA0E8B0">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4.</w:t>
            </w:r>
            <w:r>
              <w:rPr>
                <w:rFonts w:hint="eastAsia" w:asciiTheme="minorEastAsia" w:hAnsiTheme="minorEastAsia" w:eastAsiaTheme="minorEastAsia" w:cstheme="minorEastAsia"/>
                <w:color w:val="auto"/>
                <w:kern w:val="0"/>
                <w:sz w:val="24"/>
                <w:szCs w:val="24"/>
                <w:highlight w:val="none"/>
              </w:rPr>
              <w:t>频率响应：20Hz～20KHz</w:t>
            </w:r>
            <w:r>
              <w:rPr>
                <w:rFonts w:hint="eastAsia" w:asciiTheme="minorEastAsia" w:hAnsiTheme="minorEastAsia" w:eastAsiaTheme="minorEastAsia" w:cstheme="minorEastAsia"/>
                <w:color w:val="auto"/>
                <w:kern w:val="0"/>
                <w:sz w:val="24"/>
                <w:szCs w:val="24"/>
                <w:highlight w:val="none"/>
                <w:lang w:eastAsia="zh-CN"/>
              </w:rPr>
              <w:t>；</w:t>
            </w:r>
          </w:p>
          <w:p w14:paraId="5A23DA1E">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5.</w:t>
            </w:r>
            <w:r>
              <w:rPr>
                <w:rFonts w:hint="eastAsia" w:asciiTheme="minorEastAsia" w:hAnsiTheme="minorEastAsia" w:eastAsiaTheme="minorEastAsia" w:cstheme="minorEastAsia"/>
                <w:color w:val="auto"/>
                <w:kern w:val="0"/>
                <w:sz w:val="24"/>
                <w:szCs w:val="24"/>
                <w:highlight w:val="none"/>
              </w:rPr>
              <w:t>计权信噪比：≥86dB</w:t>
            </w:r>
            <w:r>
              <w:rPr>
                <w:rFonts w:hint="eastAsia" w:asciiTheme="minorEastAsia" w:hAnsiTheme="minorEastAsia" w:eastAsiaTheme="minorEastAsia" w:cstheme="minorEastAsia"/>
                <w:color w:val="auto"/>
                <w:kern w:val="0"/>
                <w:sz w:val="24"/>
                <w:szCs w:val="24"/>
                <w:highlight w:val="none"/>
                <w:lang w:eastAsia="zh-CN"/>
              </w:rPr>
              <w:t>；</w:t>
            </w:r>
          </w:p>
          <w:p w14:paraId="3B4DA91E">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6.</w:t>
            </w:r>
            <w:r>
              <w:rPr>
                <w:rFonts w:hint="eastAsia" w:asciiTheme="minorEastAsia" w:hAnsiTheme="minorEastAsia" w:eastAsiaTheme="minorEastAsia" w:cstheme="minorEastAsia"/>
                <w:color w:val="auto"/>
                <w:kern w:val="0"/>
                <w:sz w:val="24"/>
                <w:szCs w:val="24"/>
                <w:highlight w:val="none"/>
              </w:rPr>
              <w:t>两路话筒输入，音量可分别独立控制</w:t>
            </w:r>
            <w:r>
              <w:rPr>
                <w:rFonts w:hint="eastAsia" w:asciiTheme="minorEastAsia" w:hAnsiTheme="minorEastAsia" w:eastAsiaTheme="minorEastAsia" w:cstheme="minorEastAsia"/>
                <w:color w:val="auto"/>
                <w:kern w:val="0"/>
                <w:sz w:val="24"/>
                <w:szCs w:val="24"/>
                <w:highlight w:val="none"/>
                <w:lang w:eastAsia="zh-CN"/>
              </w:rPr>
              <w:t>；</w:t>
            </w:r>
          </w:p>
          <w:p w14:paraId="31AD15A7">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7.</w:t>
            </w:r>
            <w:r>
              <w:rPr>
                <w:rFonts w:hint="eastAsia" w:asciiTheme="minorEastAsia" w:hAnsiTheme="minorEastAsia" w:eastAsiaTheme="minorEastAsia" w:cstheme="minorEastAsia"/>
                <w:color w:val="auto"/>
                <w:kern w:val="0"/>
                <w:sz w:val="24"/>
                <w:szCs w:val="24"/>
                <w:highlight w:val="none"/>
              </w:rPr>
              <w:t>两路线路输入，采用RCA插座</w:t>
            </w:r>
            <w:r>
              <w:rPr>
                <w:rFonts w:hint="eastAsia" w:asciiTheme="minorEastAsia" w:hAnsiTheme="minorEastAsia" w:eastAsiaTheme="minorEastAsia" w:cstheme="minorEastAsia"/>
                <w:color w:val="auto"/>
                <w:kern w:val="0"/>
                <w:sz w:val="24"/>
                <w:szCs w:val="24"/>
                <w:highlight w:val="none"/>
                <w:lang w:eastAsia="zh-CN"/>
              </w:rPr>
              <w:t>；</w:t>
            </w:r>
          </w:p>
          <w:p w14:paraId="2F2953D5">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8.</w:t>
            </w:r>
            <w:r>
              <w:rPr>
                <w:rFonts w:hint="eastAsia" w:asciiTheme="minorEastAsia" w:hAnsiTheme="minorEastAsia" w:eastAsiaTheme="minorEastAsia" w:cstheme="minorEastAsia"/>
                <w:color w:val="auto"/>
                <w:kern w:val="0"/>
                <w:sz w:val="24"/>
                <w:szCs w:val="24"/>
                <w:highlight w:val="none"/>
              </w:rPr>
              <w:t>具有USB输入接口，支持映前音乐播放</w:t>
            </w:r>
            <w:r>
              <w:rPr>
                <w:rFonts w:hint="eastAsia" w:asciiTheme="minorEastAsia" w:hAnsiTheme="minorEastAsia" w:eastAsiaTheme="minorEastAsia" w:cstheme="minorEastAsia"/>
                <w:color w:val="auto"/>
                <w:kern w:val="0"/>
                <w:sz w:val="24"/>
                <w:szCs w:val="24"/>
                <w:highlight w:val="none"/>
                <w:lang w:eastAsia="zh-CN"/>
              </w:rPr>
              <w:t>；</w:t>
            </w:r>
          </w:p>
          <w:p w14:paraId="2740B988">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eastAsia="zh-CN"/>
              </w:rPr>
              <w:t>9.</w:t>
            </w:r>
            <w:r>
              <w:rPr>
                <w:rFonts w:hint="eastAsia" w:asciiTheme="minorEastAsia" w:hAnsiTheme="minorEastAsia" w:eastAsiaTheme="minorEastAsia" w:cstheme="minorEastAsia"/>
                <w:color w:val="auto"/>
                <w:kern w:val="0"/>
                <w:sz w:val="24"/>
                <w:szCs w:val="24"/>
                <w:highlight w:val="none"/>
              </w:rPr>
              <w:t>电源电压适应范围：AV160V～240V，50Hz/60Hz</w:t>
            </w:r>
            <w:r>
              <w:rPr>
                <w:rFonts w:hint="eastAsia" w:asciiTheme="minorEastAsia" w:hAnsiTheme="minorEastAsia" w:eastAsiaTheme="minorEastAsia" w:cstheme="minorEastAsia"/>
                <w:bCs/>
                <w:color w:val="auto"/>
                <w:sz w:val="24"/>
                <w:szCs w:val="24"/>
                <w:highlight w:val="none"/>
                <w:vertAlign w:val="baseline"/>
                <w:lang w:eastAsia="zh-CN"/>
              </w:rPr>
              <w:t>。</w:t>
            </w:r>
          </w:p>
        </w:tc>
      </w:tr>
    </w:tbl>
    <w:p w14:paraId="16A54CF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bCs/>
          <w:color w:val="auto"/>
          <w:sz w:val="24"/>
          <w:szCs w:val="24"/>
          <w:highlight w:val="none"/>
          <w:vertAlign w:val="baseline"/>
          <w:lang w:val="en-US" w:eastAsia="zh-CN"/>
        </w:rPr>
        <w:sectPr>
          <w:footerReference r:id="rId3" w:type="default"/>
          <w:pgSz w:w="11906" w:h="16838"/>
          <w:pgMar w:top="1440" w:right="1633" w:bottom="1440" w:left="1519" w:header="851" w:footer="992" w:gutter="0"/>
          <w:cols w:space="0" w:num="1"/>
          <w:docGrid w:type="lines" w:linePitch="324" w:charSpace="0"/>
        </w:sectPr>
      </w:pPr>
    </w:p>
    <w:tbl>
      <w:tblPr>
        <w:tblStyle w:val="4"/>
        <w:tblW w:w="9464" w:type="dxa"/>
        <w:tblInd w:w="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208"/>
        <w:gridCol w:w="7537"/>
      </w:tblGrid>
      <w:tr w14:paraId="0023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43BD2F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Cs/>
                <w:color w:val="auto"/>
                <w:sz w:val="24"/>
                <w:szCs w:val="24"/>
                <w:highlight w:val="none"/>
                <w:vertAlign w:val="baseline"/>
                <w:lang w:val="en-US" w:eastAsia="zh-CN"/>
              </w:rPr>
            </w:pPr>
            <w:r>
              <w:rPr>
                <w:rFonts w:hint="eastAsia" w:ascii="仿宋_GB2312" w:hAnsi="仿宋_GB2312" w:eastAsia="仿宋_GB2312" w:cs="仿宋_GB2312"/>
                <w:bCs/>
                <w:color w:val="auto"/>
                <w:sz w:val="24"/>
                <w:szCs w:val="24"/>
                <w:highlight w:val="none"/>
                <w:vertAlign w:val="baseline"/>
                <w:lang w:val="en-US" w:eastAsia="zh-CN"/>
              </w:rPr>
              <w:t>4</w:t>
            </w:r>
          </w:p>
        </w:tc>
        <w:tc>
          <w:tcPr>
            <w:tcW w:w="1208" w:type="dxa"/>
            <w:shd w:val="clear" w:color="auto" w:fill="auto"/>
            <w:vAlign w:val="center"/>
          </w:tcPr>
          <w:p w14:paraId="26687758">
            <w:pPr>
              <w:keepNext w:val="0"/>
              <w:keepLines w:val="0"/>
              <w:pageBreakBefore w:val="0"/>
              <w:kinsoku/>
              <w:wordWrap/>
              <w:overflowPunct/>
              <w:topLinePunct w:val="0"/>
              <w:autoSpaceDE w:val="0"/>
              <w:autoSpaceDN w:val="0"/>
              <w:bidi w:val="0"/>
              <w:adjustRightInd w:val="0"/>
              <w:snapToGrid/>
              <w:spacing w:line="300" w:lineRule="exact"/>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vertAlign w:val="baseline"/>
                <w:lang w:val="en-US" w:eastAsia="zh-CN"/>
              </w:rPr>
              <w:t>扬声器</w:t>
            </w:r>
          </w:p>
        </w:tc>
        <w:tc>
          <w:tcPr>
            <w:tcW w:w="7537" w:type="dxa"/>
            <w:shd w:val="clear" w:color="auto" w:fill="auto"/>
            <w:vAlign w:val="top"/>
          </w:tcPr>
          <w:p w14:paraId="77BC57D5">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1.</w:t>
            </w:r>
            <w:r>
              <w:rPr>
                <w:rFonts w:hint="eastAsia" w:asciiTheme="minorEastAsia" w:hAnsiTheme="minorEastAsia" w:eastAsiaTheme="minorEastAsia" w:cstheme="minorEastAsia"/>
                <w:color w:val="auto"/>
                <w:kern w:val="0"/>
                <w:sz w:val="24"/>
                <w:szCs w:val="24"/>
                <w:highlight w:val="none"/>
              </w:rPr>
              <w:t>符合</w:t>
            </w:r>
            <w:r>
              <w:rPr>
                <w:rFonts w:hint="eastAsia" w:asciiTheme="minorEastAsia" w:hAnsiTheme="minorEastAsia" w:eastAsiaTheme="minorEastAsia" w:cstheme="minorEastAsia"/>
                <w:bCs/>
                <w:color w:val="auto"/>
                <w:sz w:val="24"/>
                <w:szCs w:val="24"/>
                <w:highlight w:val="none"/>
                <w:vertAlign w:val="baseline"/>
                <w:lang w:val="en-US" w:eastAsia="zh-CN"/>
              </w:rPr>
              <w:t>《GY/T 251—2011数字电影流动放映系统技术要求和测量方法》</w:t>
            </w:r>
            <w:r>
              <w:rPr>
                <w:rFonts w:hint="eastAsia" w:asciiTheme="minorEastAsia" w:hAnsiTheme="minorEastAsia" w:eastAsiaTheme="minorEastAsia" w:cstheme="minorEastAsia"/>
                <w:color w:val="auto"/>
                <w:kern w:val="0"/>
                <w:sz w:val="24"/>
                <w:szCs w:val="24"/>
                <w:highlight w:val="none"/>
              </w:rPr>
              <w:t>，并且适用于农村公益电影放映；</w:t>
            </w:r>
          </w:p>
          <w:p w14:paraId="4ADAFE20">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2.</w:t>
            </w:r>
            <w:r>
              <w:rPr>
                <w:rFonts w:hint="eastAsia" w:asciiTheme="minorEastAsia" w:hAnsiTheme="minorEastAsia" w:eastAsiaTheme="minorEastAsia" w:cstheme="minorEastAsia"/>
                <w:color w:val="auto"/>
                <w:kern w:val="0"/>
                <w:sz w:val="24"/>
                <w:szCs w:val="24"/>
                <w:highlight w:val="none"/>
              </w:rPr>
              <w:t>额定功率不低于200W</w:t>
            </w:r>
            <w:r>
              <w:rPr>
                <w:rFonts w:hint="eastAsia" w:asciiTheme="minorEastAsia" w:hAnsiTheme="minorEastAsia" w:eastAsiaTheme="minorEastAsia" w:cstheme="minorEastAsia"/>
                <w:color w:val="auto"/>
                <w:kern w:val="0"/>
                <w:sz w:val="24"/>
                <w:szCs w:val="24"/>
                <w:highlight w:val="none"/>
                <w:lang w:eastAsia="zh-CN"/>
              </w:rPr>
              <w:t>；</w:t>
            </w:r>
          </w:p>
          <w:p w14:paraId="32E3AC1F">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3.</w:t>
            </w:r>
            <w:r>
              <w:rPr>
                <w:rFonts w:hint="eastAsia" w:asciiTheme="minorEastAsia" w:hAnsiTheme="minorEastAsia" w:eastAsiaTheme="minorEastAsia" w:cstheme="minorEastAsia"/>
                <w:color w:val="auto"/>
                <w:kern w:val="0"/>
                <w:sz w:val="24"/>
                <w:szCs w:val="24"/>
                <w:highlight w:val="none"/>
              </w:rPr>
              <w:t>标称阻抗：8Ω±1.6Ω</w:t>
            </w:r>
            <w:r>
              <w:rPr>
                <w:rFonts w:hint="eastAsia" w:asciiTheme="minorEastAsia" w:hAnsiTheme="minorEastAsia" w:eastAsiaTheme="minorEastAsia" w:cstheme="minorEastAsia"/>
                <w:color w:val="auto"/>
                <w:kern w:val="0"/>
                <w:sz w:val="24"/>
                <w:szCs w:val="24"/>
                <w:highlight w:val="none"/>
                <w:lang w:eastAsia="zh-CN"/>
              </w:rPr>
              <w:t>；</w:t>
            </w:r>
          </w:p>
          <w:p w14:paraId="78DA0B01">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4.</w:t>
            </w:r>
            <w:r>
              <w:rPr>
                <w:rFonts w:hint="eastAsia" w:asciiTheme="minorEastAsia" w:hAnsiTheme="minorEastAsia" w:eastAsiaTheme="minorEastAsia" w:cstheme="minorEastAsia"/>
                <w:color w:val="auto"/>
                <w:kern w:val="0"/>
                <w:sz w:val="24"/>
                <w:szCs w:val="24"/>
                <w:highlight w:val="none"/>
              </w:rPr>
              <w:t>灵敏度：95dB±3dB</w:t>
            </w:r>
            <w:r>
              <w:rPr>
                <w:rFonts w:hint="eastAsia" w:asciiTheme="minorEastAsia" w:hAnsiTheme="minorEastAsia" w:eastAsiaTheme="minorEastAsia" w:cstheme="minorEastAsia"/>
                <w:color w:val="auto"/>
                <w:kern w:val="0"/>
                <w:sz w:val="24"/>
                <w:szCs w:val="24"/>
                <w:highlight w:val="none"/>
                <w:lang w:eastAsia="zh-CN"/>
              </w:rPr>
              <w:t>；</w:t>
            </w:r>
          </w:p>
          <w:p w14:paraId="7FE341CB">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5.</w:t>
            </w:r>
            <w:r>
              <w:rPr>
                <w:rFonts w:hint="eastAsia" w:asciiTheme="minorEastAsia" w:hAnsiTheme="minorEastAsia" w:eastAsiaTheme="minorEastAsia" w:cstheme="minorEastAsia"/>
                <w:color w:val="auto"/>
                <w:kern w:val="0"/>
                <w:sz w:val="24"/>
                <w:szCs w:val="24"/>
                <w:highlight w:val="none"/>
              </w:rPr>
              <w:t>有效频率范围：80Hz～16KHz(-10dB</w:t>
            </w:r>
            <w:r>
              <w:rPr>
                <w:rFonts w:hint="eastAsia" w:asciiTheme="minorEastAsia" w:hAnsiTheme="minorEastAsia" w:cstheme="minorEastAsia"/>
                <w:color w:val="auto"/>
                <w:kern w:val="0"/>
                <w:sz w:val="24"/>
                <w:szCs w:val="24"/>
                <w:highlight w:val="none"/>
                <w:lang w:eastAsia="zh-CN"/>
              </w:rPr>
              <w:t>)。</w:t>
            </w:r>
          </w:p>
          <w:p w14:paraId="1FBE7496">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6</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音箱应具有防雨、防碰、耐磨的特性，适应流动放映的需求</w:t>
            </w:r>
            <w:r>
              <w:rPr>
                <w:rFonts w:hint="eastAsia" w:asciiTheme="minorEastAsia" w:hAnsiTheme="minorEastAsia" w:eastAsiaTheme="minorEastAsia" w:cstheme="minorEastAsia"/>
                <w:color w:val="auto"/>
                <w:kern w:val="0"/>
                <w:sz w:val="24"/>
                <w:szCs w:val="24"/>
                <w:highlight w:val="none"/>
                <w:lang w:eastAsia="zh-CN"/>
              </w:rPr>
              <w:t>；</w:t>
            </w:r>
          </w:p>
          <w:p w14:paraId="5DB05446">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7</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音箱上面应配有吊环装置和支架插孔，方便吊装</w:t>
            </w:r>
            <w:r>
              <w:rPr>
                <w:rFonts w:hint="eastAsia" w:asciiTheme="minorEastAsia" w:hAnsiTheme="minorEastAsia" w:eastAsiaTheme="minorEastAsia" w:cstheme="minorEastAsia"/>
                <w:color w:val="auto"/>
                <w:kern w:val="0"/>
                <w:sz w:val="24"/>
                <w:szCs w:val="24"/>
                <w:highlight w:val="none"/>
                <w:lang w:eastAsia="zh-CN"/>
              </w:rPr>
              <w:t>；</w:t>
            </w:r>
          </w:p>
          <w:p w14:paraId="58FBD638">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8.</w:t>
            </w:r>
            <w:r>
              <w:rPr>
                <w:rFonts w:hint="eastAsia" w:asciiTheme="minorEastAsia" w:hAnsiTheme="minorEastAsia" w:eastAsiaTheme="minorEastAsia" w:cstheme="minorEastAsia"/>
                <w:color w:val="auto"/>
                <w:kern w:val="0"/>
                <w:sz w:val="24"/>
                <w:szCs w:val="24"/>
                <w:highlight w:val="none"/>
              </w:rPr>
              <w:t>必须配有可拆卸支撑三脚架</w:t>
            </w:r>
            <w:r>
              <w:rPr>
                <w:rFonts w:hint="eastAsia" w:asciiTheme="minorEastAsia" w:hAnsiTheme="minorEastAsia" w:eastAsiaTheme="minorEastAsia" w:cstheme="minorEastAsia"/>
                <w:color w:val="auto"/>
                <w:kern w:val="0"/>
                <w:sz w:val="24"/>
                <w:szCs w:val="24"/>
                <w:highlight w:val="none"/>
                <w:lang w:eastAsia="zh-CN"/>
              </w:rPr>
              <w:t>；</w:t>
            </w:r>
          </w:p>
          <w:p w14:paraId="1CE1CDB7">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eastAsia="zh-CN"/>
              </w:rPr>
              <w:t>9.</w:t>
            </w:r>
            <w:r>
              <w:rPr>
                <w:rFonts w:hint="eastAsia" w:asciiTheme="minorEastAsia" w:hAnsiTheme="minorEastAsia" w:eastAsiaTheme="minorEastAsia" w:cstheme="minorEastAsia"/>
                <w:color w:val="auto"/>
                <w:kern w:val="0"/>
                <w:sz w:val="24"/>
                <w:szCs w:val="24"/>
                <w:highlight w:val="none"/>
              </w:rPr>
              <w:t>配备音箱线和专用插头，每条音箱线长度≥20米</w:t>
            </w:r>
            <w:r>
              <w:rPr>
                <w:rFonts w:hint="eastAsia" w:asciiTheme="minorEastAsia" w:hAnsiTheme="minorEastAsia" w:eastAsiaTheme="minorEastAsia" w:cstheme="minorEastAsia"/>
                <w:bCs/>
                <w:color w:val="auto"/>
                <w:sz w:val="24"/>
                <w:szCs w:val="24"/>
                <w:highlight w:val="none"/>
                <w:vertAlign w:val="baseline"/>
                <w:lang w:eastAsia="zh-CN"/>
              </w:rPr>
              <w:t>。</w:t>
            </w:r>
          </w:p>
        </w:tc>
      </w:tr>
      <w:tr w14:paraId="3DD3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003DCBDB">
            <w:pPr>
              <w:keepNext w:val="0"/>
              <w:keepLines w:val="0"/>
              <w:pageBreakBefore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Cs/>
                <w:color w:val="auto"/>
                <w:sz w:val="24"/>
                <w:szCs w:val="24"/>
                <w:highlight w:val="none"/>
                <w:vertAlign w:val="baseline"/>
                <w:lang w:val="en-US" w:eastAsia="zh-CN"/>
              </w:rPr>
            </w:pPr>
            <w:r>
              <w:rPr>
                <w:rFonts w:hint="eastAsia" w:ascii="仿宋_GB2312" w:hAnsi="仿宋_GB2312" w:eastAsia="仿宋_GB2312" w:cs="仿宋_GB2312"/>
                <w:bCs/>
                <w:color w:val="auto"/>
                <w:sz w:val="24"/>
                <w:szCs w:val="24"/>
                <w:highlight w:val="none"/>
                <w:vertAlign w:val="baseline"/>
                <w:lang w:val="en-US" w:eastAsia="zh-CN"/>
              </w:rPr>
              <w:t>5</w:t>
            </w:r>
          </w:p>
        </w:tc>
        <w:tc>
          <w:tcPr>
            <w:tcW w:w="1208" w:type="dxa"/>
            <w:shd w:val="clear" w:color="auto" w:fill="auto"/>
            <w:vAlign w:val="center"/>
          </w:tcPr>
          <w:p w14:paraId="3B239C9B">
            <w:pPr>
              <w:keepNext w:val="0"/>
              <w:keepLines w:val="0"/>
              <w:pageBreakBefore w:val="0"/>
              <w:kinsoku/>
              <w:wordWrap/>
              <w:overflowPunct/>
              <w:topLinePunct w:val="0"/>
              <w:autoSpaceDE w:val="0"/>
              <w:autoSpaceDN w:val="0"/>
              <w:bidi w:val="0"/>
              <w:adjustRightInd w:val="0"/>
              <w:snapToGrid/>
              <w:spacing w:line="300" w:lineRule="exact"/>
              <w:jc w:val="both"/>
              <w:textAlignment w:val="auto"/>
              <w:rPr>
                <w:rFonts w:hint="eastAsia" w:asciiTheme="minorEastAsia" w:hAnsiTheme="minorEastAsia" w:eastAsiaTheme="minorEastAsia" w:cstheme="minorEastAsia"/>
                <w:bCs/>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流动银幕</w:t>
            </w:r>
          </w:p>
        </w:tc>
        <w:tc>
          <w:tcPr>
            <w:tcW w:w="7537" w:type="dxa"/>
            <w:shd w:val="clear" w:color="auto" w:fill="auto"/>
            <w:vAlign w:val="top"/>
          </w:tcPr>
          <w:p w14:paraId="58A3F1AC">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1.</w:t>
            </w:r>
            <w:r>
              <w:rPr>
                <w:rFonts w:hint="eastAsia" w:asciiTheme="minorEastAsia" w:hAnsiTheme="minorEastAsia" w:eastAsiaTheme="minorEastAsia" w:cstheme="minorEastAsia"/>
                <w:color w:val="auto"/>
                <w:kern w:val="0"/>
                <w:sz w:val="24"/>
                <w:szCs w:val="24"/>
                <w:highlight w:val="none"/>
              </w:rPr>
              <w:t>银幕有效画面尺寸不小于5m×2.</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m</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宽×高</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背面</w:t>
            </w:r>
            <w:r>
              <w:rPr>
                <w:rFonts w:hint="eastAsia" w:asciiTheme="minorEastAsia" w:hAnsiTheme="minorEastAsia" w:cstheme="minorEastAsia"/>
                <w:color w:val="auto"/>
                <w:kern w:val="0"/>
                <w:sz w:val="24"/>
                <w:szCs w:val="24"/>
                <w:highlight w:val="none"/>
                <w:lang w:val="en-US" w:eastAsia="zh-CN"/>
              </w:rPr>
              <w:t>缝</w:t>
            </w:r>
            <w:r>
              <w:rPr>
                <w:rFonts w:hint="eastAsia" w:asciiTheme="minorEastAsia" w:hAnsiTheme="minorEastAsia" w:eastAsiaTheme="minorEastAsia" w:cstheme="minorEastAsia"/>
                <w:color w:val="auto"/>
                <w:kern w:val="0"/>
                <w:sz w:val="24"/>
                <w:szCs w:val="24"/>
                <w:highlight w:val="none"/>
                <w:lang w:val="en-US" w:eastAsia="zh-CN"/>
              </w:rPr>
              <w:t>同尺寸遮光布</w:t>
            </w:r>
            <w:r>
              <w:rPr>
                <w:rFonts w:hint="eastAsia" w:asciiTheme="minorEastAsia" w:hAnsiTheme="minorEastAsia" w:eastAsiaTheme="minorEastAsia" w:cstheme="minorEastAsia"/>
                <w:color w:val="auto"/>
                <w:kern w:val="0"/>
                <w:sz w:val="24"/>
                <w:szCs w:val="24"/>
                <w:highlight w:val="none"/>
                <w:lang w:eastAsia="zh-CN"/>
              </w:rPr>
              <w:t>；</w:t>
            </w:r>
          </w:p>
          <w:p w14:paraId="00EAD739">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2.</w:t>
            </w:r>
            <w:r>
              <w:rPr>
                <w:rFonts w:hint="eastAsia" w:asciiTheme="minorEastAsia" w:hAnsiTheme="minorEastAsia" w:eastAsiaTheme="minorEastAsia" w:cstheme="minorEastAsia"/>
                <w:color w:val="auto"/>
                <w:kern w:val="0"/>
                <w:sz w:val="24"/>
                <w:szCs w:val="24"/>
                <w:highlight w:val="none"/>
              </w:rPr>
              <w:t>亮度系数（β）：≥1.0</w:t>
            </w:r>
            <w:r>
              <w:rPr>
                <w:rFonts w:hint="eastAsia" w:asciiTheme="minorEastAsia" w:hAnsiTheme="minorEastAsia" w:eastAsiaTheme="minorEastAsia" w:cstheme="minorEastAsia"/>
                <w:color w:val="auto"/>
                <w:kern w:val="0"/>
                <w:sz w:val="24"/>
                <w:szCs w:val="24"/>
                <w:highlight w:val="none"/>
                <w:lang w:eastAsia="zh-CN"/>
              </w:rPr>
              <w:t>；</w:t>
            </w:r>
          </w:p>
          <w:p w14:paraId="3558F1CC">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3.</w:t>
            </w:r>
            <w:r>
              <w:rPr>
                <w:rFonts w:hint="eastAsia" w:asciiTheme="minorEastAsia" w:hAnsiTheme="minorEastAsia" w:eastAsiaTheme="minorEastAsia" w:cstheme="minorEastAsia"/>
                <w:color w:val="auto"/>
                <w:kern w:val="0"/>
                <w:sz w:val="24"/>
                <w:szCs w:val="24"/>
                <w:highlight w:val="none"/>
              </w:rPr>
              <w:t>有效散射角（2α）：≥120</w:t>
            </w:r>
            <w:r>
              <w:rPr>
                <w:rFonts w:hint="eastAsia" w:asciiTheme="minorEastAsia" w:hAnsiTheme="minorEastAsia" w:cstheme="minorEastAsia"/>
                <w:color w:val="auto"/>
                <w:kern w:val="0"/>
                <w:sz w:val="24"/>
                <w:szCs w:val="24"/>
                <w:highlight w:val="none"/>
                <w:lang w:eastAsia="zh-CN"/>
              </w:rPr>
              <w:t>°。</w:t>
            </w:r>
          </w:p>
          <w:p w14:paraId="3A70BAC6">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4.</w:t>
            </w:r>
            <w:r>
              <w:rPr>
                <w:rFonts w:hint="eastAsia" w:asciiTheme="minorEastAsia" w:hAnsiTheme="minorEastAsia" w:eastAsiaTheme="minorEastAsia" w:cstheme="minorEastAsia"/>
                <w:color w:val="auto"/>
                <w:kern w:val="0"/>
                <w:sz w:val="24"/>
                <w:szCs w:val="24"/>
                <w:highlight w:val="none"/>
              </w:rPr>
              <w:t>银幕材质适用于露天使用，具有阻燃、防蛀</w:t>
            </w:r>
            <w:r>
              <w:rPr>
                <w:rFonts w:hint="eastAsia" w:asciiTheme="minorEastAsia" w:hAnsiTheme="minorEastAsia" w:eastAsiaTheme="minorEastAsia" w:cstheme="minorEastAsia"/>
                <w:color w:val="auto"/>
                <w:kern w:val="0"/>
                <w:sz w:val="24"/>
                <w:szCs w:val="24"/>
                <w:highlight w:val="none"/>
                <w:lang w:val="en-US" w:eastAsia="zh-CN"/>
              </w:rPr>
              <w:t>特性</w:t>
            </w:r>
            <w:r>
              <w:rPr>
                <w:rFonts w:hint="eastAsia" w:asciiTheme="minorEastAsia" w:hAnsiTheme="minorEastAsia" w:eastAsiaTheme="minorEastAsia" w:cstheme="minorEastAsia"/>
                <w:color w:val="auto"/>
                <w:kern w:val="0"/>
                <w:sz w:val="24"/>
                <w:szCs w:val="24"/>
                <w:highlight w:val="none"/>
              </w:rPr>
              <w:t>，轻薄耐用可折叠，湿性清洁不变形</w:t>
            </w:r>
            <w:r>
              <w:rPr>
                <w:rFonts w:hint="eastAsia" w:asciiTheme="minorEastAsia" w:hAnsiTheme="minorEastAsia" w:eastAsiaTheme="minorEastAsia" w:cstheme="minorEastAsia"/>
                <w:color w:val="auto"/>
                <w:kern w:val="0"/>
                <w:sz w:val="24"/>
                <w:szCs w:val="24"/>
                <w:highlight w:val="none"/>
                <w:lang w:eastAsia="zh-CN"/>
              </w:rPr>
              <w:t>；</w:t>
            </w:r>
          </w:p>
          <w:p w14:paraId="3D3C10AD">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eastAsia="zh-CN"/>
              </w:rPr>
              <w:t>5.</w:t>
            </w:r>
            <w:r>
              <w:rPr>
                <w:rFonts w:hint="eastAsia" w:asciiTheme="minorEastAsia" w:hAnsiTheme="minorEastAsia" w:eastAsiaTheme="minorEastAsia" w:cstheme="minorEastAsia"/>
                <w:color w:val="auto"/>
                <w:kern w:val="0"/>
                <w:sz w:val="24"/>
                <w:szCs w:val="24"/>
                <w:highlight w:val="none"/>
              </w:rPr>
              <w:t>配帆布包装运输袋。</w:t>
            </w:r>
          </w:p>
        </w:tc>
      </w:tr>
      <w:tr w14:paraId="3E18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0B614B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Cs/>
                <w:color w:val="auto"/>
                <w:sz w:val="24"/>
                <w:szCs w:val="24"/>
                <w:highlight w:val="none"/>
                <w:vertAlign w:val="baseline"/>
                <w:lang w:val="en-US" w:eastAsia="zh-CN"/>
              </w:rPr>
            </w:pPr>
            <w:r>
              <w:rPr>
                <w:rFonts w:hint="eastAsia" w:ascii="仿宋_GB2312" w:hAnsi="仿宋_GB2312" w:eastAsia="仿宋_GB2312" w:cs="仿宋_GB2312"/>
                <w:bCs/>
                <w:color w:val="auto"/>
                <w:sz w:val="24"/>
                <w:szCs w:val="24"/>
                <w:highlight w:val="none"/>
                <w:vertAlign w:val="baseline"/>
                <w:lang w:val="en-US" w:eastAsia="zh-CN"/>
              </w:rPr>
              <w:t>6</w:t>
            </w:r>
          </w:p>
        </w:tc>
        <w:tc>
          <w:tcPr>
            <w:tcW w:w="1208" w:type="dxa"/>
            <w:shd w:val="clear" w:color="auto" w:fill="auto"/>
            <w:vAlign w:val="center"/>
          </w:tcPr>
          <w:p w14:paraId="1474125D">
            <w:pPr>
              <w:keepNext w:val="0"/>
              <w:keepLines w:val="0"/>
              <w:pageBreakBefore w:val="0"/>
              <w:kinsoku/>
              <w:wordWrap/>
              <w:overflowPunct/>
              <w:topLinePunct w:val="0"/>
              <w:autoSpaceDE w:val="0"/>
              <w:autoSpaceDN w:val="0"/>
              <w:bidi w:val="0"/>
              <w:adjustRightInd w:val="0"/>
              <w:snapToGrid/>
              <w:spacing w:line="300" w:lineRule="exact"/>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vertAlign w:val="baseline"/>
                <w:lang w:val="en-US" w:eastAsia="zh-CN"/>
              </w:rPr>
              <w:t>一体化机箱（含机柜、三脚架）</w:t>
            </w:r>
          </w:p>
        </w:tc>
        <w:tc>
          <w:tcPr>
            <w:tcW w:w="7537" w:type="dxa"/>
            <w:shd w:val="clear" w:color="auto" w:fill="auto"/>
            <w:vAlign w:val="top"/>
          </w:tcPr>
          <w:p w14:paraId="0C389D50">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1.</w:t>
            </w:r>
            <w:r>
              <w:rPr>
                <w:rFonts w:hint="eastAsia" w:asciiTheme="minorEastAsia" w:hAnsiTheme="minorEastAsia" w:eastAsiaTheme="minorEastAsia" w:cstheme="minorEastAsia"/>
                <w:color w:val="auto"/>
                <w:kern w:val="0"/>
                <w:sz w:val="24"/>
                <w:szCs w:val="24"/>
                <w:highlight w:val="none"/>
              </w:rPr>
              <w:t>机箱内置全制式电源插孔，总功率</w:t>
            </w:r>
            <w:r>
              <w:rPr>
                <w:rFonts w:hint="eastAsia" w:asciiTheme="minorEastAsia" w:hAnsiTheme="minorEastAsia" w:eastAsiaTheme="minorEastAsia" w:cstheme="minorEastAsia"/>
                <w:color w:val="auto"/>
                <w:kern w:val="0"/>
                <w:sz w:val="24"/>
                <w:szCs w:val="24"/>
                <w:highlight w:val="none"/>
                <w:lang w:val="en-US" w:eastAsia="zh-CN"/>
              </w:rPr>
              <w:t>可支持服务器、投影仪、功放、扬声器同时工作</w:t>
            </w:r>
            <w:r>
              <w:rPr>
                <w:rFonts w:hint="eastAsia" w:asciiTheme="minorEastAsia" w:hAnsiTheme="minorEastAsia" w:eastAsiaTheme="minorEastAsia" w:cstheme="minorEastAsia"/>
                <w:color w:val="auto"/>
                <w:kern w:val="0"/>
                <w:sz w:val="24"/>
                <w:szCs w:val="24"/>
                <w:highlight w:val="none"/>
              </w:rPr>
              <w:t>；</w:t>
            </w:r>
          </w:p>
          <w:p w14:paraId="7650A21B">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2.</w:t>
            </w:r>
            <w:r>
              <w:rPr>
                <w:rFonts w:hint="eastAsia" w:asciiTheme="minorEastAsia" w:hAnsiTheme="minorEastAsia" w:eastAsiaTheme="minorEastAsia" w:cstheme="minorEastAsia"/>
                <w:color w:val="auto"/>
                <w:kern w:val="0"/>
                <w:sz w:val="24"/>
                <w:szCs w:val="24"/>
                <w:highlight w:val="none"/>
              </w:rPr>
              <w:t>配备三脚架和配套航空箱；</w:t>
            </w:r>
          </w:p>
          <w:p w14:paraId="21A10F7C">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eastAsia="zh-CN"/>
              </w:rPr>
              <w:t>3.</w:t>
            </w:r>
            <w:r>
              <w:rPr>
                <w:rFonts w:hint="eastAsia" w:asciiTheme="minorEastAsia" w:hAnsiTheme="minorEastAsia" w:eastAsiaTheme="minorEastAsia" w:cstheme="minorEastAsia"/>
                <w:color w:val="auto"/>
                <w:kern w:val="0"/>
                <w:sz w:val="24"/>
                <w:szCs w:val="24"/>
                <w:highlight w:val="none"/>
              </w:rPr>
              <w:t>电源线长度≥3.0m；</w:t>
            </w:r>
          </w:p>
          <w:p w14:paraId="66BF54A1">
            <w:pPr>
              <w:keepNext w:val="0"/>
              <w:keepLines w:val="0"/>
              <w:pageBreakBefore w:val="0"/>
              <w:kinsoku/>
              <w:wordWrap/>
              <w:overflowPunct/>
              <w:topLinePunct w:val="0"/>
              <w:autoSpaceDE w:val="0"/>
              <w:autoSpaceDN w:val="0"/>
              <w:bidi w:val="0"/>
              <w:adjustRightInd w:val="0"/>
              <w:snapToGrid/>
              <w:spacing w:line="300" w:lineRule="exact"/>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eastAsia="zh-CN"/>
              </w:rPr>
              <w:t>4.</w:t>
            </w:r>
            <w:r>
              <w:rPr>
                <w:rFonts w:hint="eastAsia" w:asciiTheme="minorEastAsia" w:hAnsiTheme="minorEastAsia" w:eastAsiaTheme="minorEastAsia" w:cstheme="minorEastAsia"/>
                <w:color w:val="auto"/>
                <w:kern w:val="0"/>
                <w:sz w:val="24"/>
                <w:szCs w:val="24"/>
                <w:highlight w:val="none"/>
              </w:rPr>
              <w:t>机箱必须能内置符合本要求的数字电影</w:t>
            </w:r>
            <w:r>
              <w:rPr>
                <w:rFonts w:hint="eastAsia" w:asciiTheme="minorEastAsia" w:hAnsiTheme="minorEastAsia" w:eastAsiaTheme="minorEastAsia" w:cstheme="minorEastAsia"/>
                <w:color w:val="auto"/>
                <w:kern w:val="0"/>
                <w:sz w:val="24"/>
                <w:szCs w:val="24"/>
                <w:highlight w:val="none"/>
                <w:lang w:val="en-US" w:eastAsia="zh-CN"/>
              </w:rPr>
              <w:t>服务</w:t>
            </w:r>
            <w:r>
              <w:rPr>
                <w:rFonts w:hint="eastAsia" w:asciiTheme="minorEastAsia" w:hAnsiTheme="minorEastAsia" w:eastAsiaTheme="minorEastAsia" w:cstheme="minorEastAsia"/>
                <w:color w:val="auto"/>
                <w:kern w:val="0"/>
                <w:sz w:val="24"/>
                <w:szCs w:val="24"/>
                <w:highlight w:val="none"/>
              </w:rPr>
              <w:t>器、功率放大器和激光投影</w:t>
            </w:r>
            <w:r>
              <w:rPr>
                <w:rFonts w:hint="eastAsia" w:asciiTheme="minorEastAsia" w:hAnsiTheme="minorEastAsia" w:eastAsiaTheme="minorEastAsia" w:cstheme="minorEastAsia"/>
                <w:color w:val="auto"/>
                <w:kern w:val="0"/>
                <w:sz w:val="24"/>
                <w:szCs w:val="24"/>
                <w:highlight w:val="none"/>
                <w:lang w:val="en-US" w:eastAsia="zh-CN"/>
              </w:rPr>
              <w:t>仪</w:t>
            </w:r>
            <w:r>
              <w:rPr>
                <w:rFonts w:hint="eastAsia" w:asciiTheme="minorEastAsia" w:hAnsiTheme="minorEastAsia" w:eastAsiaTheme="minorEastAsia" w:cstheme="minorEastAsia"/>
                <w:color w:val="auto"/>
                <w:kern w:val="0"/>
                <w:sz w:val="24"/>
                <w:szCs w:val="24"/>
                <w:highlight w:val="none"/>
              </w:rPr>
              <w:t>。</w:t>
            </w:r>
          </w:p>
        </w:tc>
      </w:tr>
    </w:tbl>
    <w:p w14:paraId="22F68B79">
      <w:pPr>
        <w:keepNext w:val="0"/>
        <w:keepLines w:val="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二、质量要求</w:t>
      </w:r>
    </w:p>
    <w:p w14:paraId="44D8560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1.供应商须提供全新的货物</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含零部件、配件、使用说明书等</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，表面无划伤、无碰撞痕迹，且权属清楚，不得侵害他人的知识产权，并按照相关要求包装完好。</w:t>
      </w:r>
    </w:p>
    <w:p w14:paraId="44CFCB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2.投标产品必须符合或优于国家</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行业</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标准、地方标准或者其他标准、规范要求，以及本项目招标文件的质量要求</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技术指标</w:t>
      </w:r>
      <w:r>
        <w:rPr>
          <w:rFonts w:hint="eastAsia" w:ascii="仿宋" w:hAnsi="仿宋" w:eastAsia="仿宋" w:cs="仿宋"/>
          <w:bCs/>
          <w:color w:val="auto"/>
          <w:sz w:val="32"/>
          <w:szCs w:val="32"/>
          <w:highlight w:val="none"/>
          <w:lang w:eastAsia="zh-CN"/>
        </w:rPr>
        <w:t>和</w:t>
      </w:r>
      <w:r>
        <w:rPr>
          <w:rFonts w:hint="eastAsia" w:ascii="仿宋" w:hAnsi="仿宋" w:eastAsia="仿宋" w:cs="仿宋"/>
          <w:bCs/>
          <w:color w:val="auto"/>
          <w:sz w:val="32"/>
          <w:szCs w:val="32"/>
          <w:highlight w:val="none"/>
        </w:rPr>
        <w:t>出厂标准。</w:t>
      </w:r>
    </w:p>
    <w:p w14:paraId="62D90C7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3.投标产品制造质量出现问题，供应商应负责三包</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包修、包换、包退</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，费用由供应商负担，采购人有权到产品</w:t>
      </w:r>
      <w:r>
        <w:rPr>
          <w:rFonts w:hint="eastAsia" w:ascii="仿宋" w:hAnsi="仿宋" w:eastAsia="仿宋" w:cs="仿宋"/>
          <w:bCs/>
          <w:color w:val="auto"/>
          <w:sz w:val="32"/>
          <w:szCs w:val="32"/>
          <w:highlight w:val="none"/>
          <w:lang w:eastAsia="zh-CN"/>
        </w:rPr>
        <w:t>生产厂家</w:t>
      </w:r>
      <w:r>
        <w:rPr>
          <w:rFonts w:hint="eastAsia" w:ascii="仿宋" w:hAnsi="仿宋" w:eastAsia="仿宋" w:cs="仿宋"/>
          <w:bCs/>
          <w:color w:val="auto"/>
          <w:sz w:val="32"/>
          <w:szCs w:val="32"/>
          <w:highlight w:val="none"/>
        </w:rPr>
        <w:t>检查货物质量和生产进度。</w:t>
      </w:r>
    </w:p>
    <w:p w14:paraId="301CEFB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4.具有严格的质量管理制度及履约保障措施。</w:t>
      </w:r>
    </w:p>
    <w:p w14:paraId="669F8C9D">
      <w:pPr>
        <w:keepNext w:val="0"/>
        <w:keepLines w:val="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三、售后服务要求</w:t>
      </w:r>
    </w:p>
    <w:p w14:paraId="0EA3E8E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1.供应商应有完善的技术支持与服务体系，专人负责与采购人联系售后服务事宜，</w:t>
      </w:r>
      <w:r>
        <w:rPr>
          <w:rFonts w:hint="eastAsia" w:ascii="仿宋" w:hAnsi="仿宋" w:eastAsia="仿宋" w:cs="仿宋"/>
          <w:bCs/>
          <w:color w:val="auto"/>
          <w:sz w:val="32"/>
          <w:szCs w:val="32"/>
          <w:highlight w:val="none"/>
          <w:lang w:eastAsia="zh-CN"/>
        </w:rPr>
        <w:t>具备必要</w:t>
      </w:r>
      <w:r>
        <w:rPr>
          <w:rFonts w:hint="eastAsia" w:ascii="仿宋" w:hAnsi="仿宋" w:eastAsia="仿宋" w:cs="仿宋"/>
          <w:bCs/>
          <w:color w:val="auto"/>
          <w:sz w:val="32"/>
          <w:szCs w:val="32"/>
          <w:highlight w:val="none"/>
        </w:rPr>
        <w:t>的售后</w:t>
      </w:r>
      <w:r>
        <w:rPr>
          <w:rFonts w:hint="eastAsia" w:ascii="仿宋" w:hAnsi="仿宋" w:eastAsia="仿宋" w:cs="仿宋"/>
          <w:bCs/>
          <w:color w:val="auto"/>
          <w:sz w:val="32"/>
          <w:szCs w:val="32"/>
          <w:highlight w:val="none"/>
          <w:lang w:eastAsia="zh-CN"/>
        </w:rPr>
        <w:t>机具和</w:t>
      </w:r>
      <w:r>
        <w:rPr>
          <w:rFonts w:hint="eastAsia" w:ascii="仿宋" w:hAnsi="仿宋" w:eastAsia="仿宋" w:cs="仿宋"/>
          <w:bCs/>
          <w:color w:val="auto"/>
          <w:sz w:val="32"/>
          <w:szCs w:val="32"/>
          <w:highlight w:val="none"/>
        </w:rPr>
        <w:t>专门的服务电话</w:t>
      </w:r>
      <w:r>
        <w:rPr>
          <w:rFonts w:hint="eastAsia" w:ascii="仿宋" w:hAnsi="仿宋" w:eastAsia="仿宋" w:cs="仿宋"/>
          <w:bCs/>
          <w:color w:val="auto"/>
          <w:sz w:val="32"/>
          <w:szCs w:val="32"/>
          <w:highlight w:val="none"/>
          <w:lang w:eastAsia="zh-CN"/>
        </w:rPr>
        <w:t>。</w:t>
      </w:r>
    </w:p>
    <w:p w14:paraId="4554DDE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2.供应商</w:t>
      </w:r>
      <w:r>
        <w:rPr>
          <w:rFonts w:hint="eastAsia" w:ascii="仿宋" w:hAnsi="仿宋" w:eastAsia="仿宋" w:cs="仿宋"/>
          <w:bCs/>
          <w:color w:val="auto"/>
          <w:sz w:val="32"/>
          <w:szCs w:val="32"/>
          <w:highlight w:val="none"/>
          <w:lang w:val="en-US" w:eastAsia="zh-CN"/>
        </w:rPr>
        <w:t>须明确说明设备保修响应时间和故障排除时间，并严格按照承诺进行</w:t>
      </w:r>
      <w:r>
        <w:rPr>
          <w:rFonts w:hint="eastAsia" w:ascii="仿宋" w:hAnsi="仿宋" w:eastAsia="仿宋" w:cs="仿宋"/>
          <w:bCs/>
          <w:color w:val="auto"/>
          <w:sz w:val="32"/>
          <w:szCs w:val="32"/>
          <w:highlight w:val="none"/>
        </w:rPr>
        <w:t>响应</w:t>
      </w:r>
      <w:r>
        <w:rPr>
          <w:rFonts w:hint="eastAsia" w:ascii="仿宋" w:hAnsi="仿宋" w:eastAsia="仿宋" w:cs="仿宋"/>
          <w:bCs/>
          <w:color w:val="auto"/>
          <w:sz w:val="32"/>
          <w:szCs w:val="32"/>
          <w:highlight w:val="none"/>
          <w:lang w:eastAsia="zh-CN"/>
        </w:rPr>
        <w:t>和排除故障</w:t>
      </w:r>
      <w:r>
        <w:rPr>
          <w:rFonts w:hint="eastAsia" w:ascii="仿宋" w:hAnsi="仿宋" w:eastAsia="仿宋" w:cs="仿宋"/>
          <w:bCs/>
          <w:color w:val="auto"/>
          <w:sz w:val="32"/>
          <w:szCs w:val="32"/>
          <w:highlight w:val="none"/>
        </w:rPr>
        <w:t>，以保证设备的正常使用。</w:t>
      </w:r>
    </w:p>
    <w:p w14:paraId="7F744DB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3.保修期内</w:t>
      </w:r>
      <w:r>
        <w:rPr>
          <w:rFonts w:hint="eastAsia" w:ascii="仿宋" w:hAnsi="仿宋" w:eastAsia="仿宋" w:cs="仿宋"/>
          <w:bCs/>
          <w:color w:val="auto"/>
          <w:sz w:val="32"/>
          <w:szCs w:val="32"/>
          <w:highlight w:val="none"/>
          <w:lang w:eastAsia="zh-CN"/>
        </w:rPr>
        <w:t>，中标</w:t>
      </w:r>
      <w:r>
        <w:rPr>
          <w:rFonts w:hint="eastAsia" w:ascii="仿宋" w:hAnsi="仿宋" w:eastAsia="仿宋" w:cs="仿宋"/>
          <w:bCs/>
          <w:color w:val="auto"/>
          <w:sz w:val="32"/>
          <w:szCs w:val="32"/>
          <w:highlight w:val="none"/>
        </w:rPr>
        <w:t>供应商负责修理和替换任何由于设备自身的质量问题造成的损坏及故障</w:t>
      </w:r>
      <w:r>
        <w:rPr>
          <w:rFonts w:hint="eastAsia" w:ascii="仿宋" w:hAnsi="仿宋" w:eastAsia="仿宋" w:cs="仿宋"/>
          <w:bCs/>
          <w:color w:val="auto"/>
          <w:sz w:val="32"/>
          <w:szCs w:val="32"/>
          <w:highlight w:val="none"/>
          <w:lang w:eastAsia="zh-CN"/>
        </w:rPr>
        <w:t>，以及</w:t>
      </w:r>
      <w:r>
        <w:rPr>
          <w:rFonts w:hint="eastAsia" w:ascii="仿宋" w:hAnsi="仿宋" w:eastAsia="仿宋" w:cs="仿宋"/>
          <w:bCs/>
          <w:color w:val="auto"/>
          <w:sz w:val="32"/>
          <w:szCs w:val="32"/>
          <w:highlight w:val="none"/>
        </w:rPr>
        <w:t>保修条款内提及的项目，采购人无须为此付费。保修期满后，中标供应商仍需提供维修服务，收取成本费。</w:t>
      </w:r>
    </w:p>
    <w:p w14:paraId="72873B4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4</w:t>
      </w:r>
      <w:r>
        <w:rPr>
          <w:rFonts w:hint="eastAsia" w:ascii="仿宋" w:hAnsi="仿宋" w:eastAsia="仿宋" w:cs="仿宋"/>
          <w:bCs/>
          <w:color w:val="auto"/>
          <w:sz w:val="32"/>
          <w:szCs w:val="32"/>
          <w:highlight w:val="none"/>
          <w:lang w:val="en-US" w:eastAsia="zh-CN"/>
        </w:rPr>
        <w:t>.</w:t>
      </w:r>
      <w:r>
        <w:rPr>
          <w:rFonts w:hint="eastAsia" w:ascii="仿宋" w:hAnsi="仿宋" w:eastAsia="仿宋" w:cs="仿宋"/>
          <w:bCs/>
          <w:color w:val="auto"/>
          <w:sz w:val="32"/>
          <w:szCs w:val="32"/>
          <w:highlight w:val="none"/>
        </w:rPr>
        <w:t>供应商承诺</w:t>
      </w:r>
      <w:r>
        <w:rPr>
          <w:rFonts w:hint="eastAsia" w:ascii="仿宋" w:hAnsi="仿宋" w:eastAsia="仿宋" w:cs="仿宋"/>
          <w:bCs/>
          <w:color w:val="auto"/>
          <w:sz w:val="32"/>
          <w:szCs w:val="32"/>
          <w:highlight w:val="none"/>
          <w:lang w:eastAsia="zh-CN"/>
        </w:rPr>
        <w:t>，项目</w:t>
      </w:r>
      <w:r>
        <w:rPr>
          <w:rFonts w:hint="eastAsia" w:ascii="仿宋" w:hAnsi="仿宋" w:eastAsia="仿宋" w:cs="仿宋"/>
          <w:bCs/>
          <w:color w:val="auto"/>
          <w:sz w:val="32"/>
          <w:szCs w:val="32"/>
          <w:highlight w:val="none"/>
        </w:rPr>
        <w:t>全部设备的各种部件均</w:t>
      </w:r>
      <w:r>
        <w:rPr>
          <w:rFonts w:hint="eastAsia" w:ascii="仿宋" w:hAnsi="仿宋" w:eastAsia="仿宋" w:cs="仿宋"/>
          <w:bCs/>
          <w:color w:val="auto"/>
          <w:sz w:val="32"/>
          <w:szCs w:val="32"/>
          <w:highlight w:val="none"/>
          <w:lang w:eastAsia="zh-CN"/>
        </w:rPr>
        <w:t>能保证</w:t>
      </w:r>
      <w:r>
        <w:rPr>
          <w:rFonts w:hint="eastAsia" w:ascii="仿宋" w:hAnsi="仿宋" w:eastAsia="仿宋" w:cs="仿宋"/>
          <w:bCs/>
          <w:color w:val="auto"/>
          <w:sz w:val="32"/>
          <w:szCs w:val="32"/>
          <w:highlight w:val="none"/>
        </w:rPr>
        <w:t>齐备、充足供应</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若因设备升级更新等原因不能保障供应</w:t>
      </w:r>
      <w:r>
        <w:rPr>
          <w:rFonts w:hint="eastAsia" w:ascii="仿宋" w:hAnsi="仿宋" w:eastAsia="仿宋" w:cs="仿宋"/>
          <w:bCs/>
          <w:color w:val="auto"/>
          <w:sz w:val="32"/>
          <w:szCs w:val="32"/>
          <w:highlight w:val="none"/>
          <w:lang w:eastAsia="zh-CN"/>
        </w:rPr>
        <w:t>，造成</w:t>
      </w:r>
      <w:r>
        <w:rPr>
          <w:rFonts w:hint="eastAsia" w:ascii="仿宋" w:hAnsi="仿宋" w:eastAsia="仿宋" w:cs="仿宋"/>
          <w:bCs/>
          <w:color w:val="auto"/>
          <w:sz w:val="32"/>
          <w:szCs w:val="32"/>
          <w:highlight w:val="none"/>
        </w:rPr>
        <w:t>采购人损失的，供应商承担全部赔偿责任，在交货时需向采购人提供设备常规备品备件。</w:t>
      </w:r>
    </w:p>
    <w:p w14:paraId="6F815FC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5</w:t>
      </w:r>
      <w:r>
        <w:rPr>
          <w:rFonts w:hint="eastAsia" w:ascii="仿宋" w:hAnsi="仿宋" w:eastAsia="仿宋" w:cs="仿宋"/>
          <w:bCs/>
          <w:color w:val="auto"/>
          <w:sz w:val="32"/>
          <w:szCs w:val="32"/>
          <w:highlight w:val="none"/>
          <w:lang w:val="en-US" w:eastAsia="zh-CN"/>
        </w:rPr>
        <w:t>.</w:t>
      </w:r>
      <w:r>
        <w:rPr>
          <w:rFonts w:hint="eastAsia" w:ascii="仿宋" w:hAnsi="仿宋" w:eastAsia="仿宋" w:cs="仿宋"/>
          <w:bCs/>
          <w:color w:val="auto"/>
          <w:sz w:val="32"/>
          <w:szCs w:val="32"/>
          <w:highlight w:val="none"/>
        </w:rPr>
        <w:t>供应商对采购人的设备操作人员进行相关培训，能独立完成安装调试，并在培训后免费提供使用咨询等。</w:t>
      </w:r>
    </w:p>
    <w:p w14:paraId="69B69B7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6</w:t>
      </w:r>
      <w:r>
        <w:rPr>
          <w:rFonts w:hint="eastAsia" w:ascii="仿宋" w:hAnsi="仿宋" w:eastAsia="仿宋" w:cs="仿宋"/>
          <w:bCs/>
          <w:color w:val="auto"/>
          <w:sz w:val="32"/>
          <w:szCs w:val="32"/>
          <w:highlight w:val="none"/>
          <w:lang w:val="en-US" w:eastAsia="zh-CN"/>
        </w:rPr>
        <w:t>.</w:t>
      </w:r>
      <w:r>
        <w:rPr>
          <w:rFonts w:hint="eastAsia" w:ascii="仿宋" w:hAnsi="仿宋" w:eastAsia="仿宋" w:cs="仿宋"/>
          <w:bCs/>
          <w:color w:val="auto"/>
          <w:sz w:val="32"/>
          <w:szCs w:val="32"/>
          <w:highlight w:val="none"/>
        </w:rPr>
        <w:t>供应商针对本项目提供</w:t>
      </w:r>
      <w:r>
        <w:rPr>
          <w:rFonts w:hint="eastAsia" w:ascii="仿宋" w:hAnsi="仿宋" w:eastAsia="仿宋" w:cs="仿宋"/>
          <w:bCs/>
          <w:color w:val="auto"/>
          <w:sz w:val="32"/>
          <w:szCs w:val="32"/>
          <w:highlight w:val="none"/>
          <w:lang w:eastAsia="zh-CN"/>
        </w:rPr>
        <w:t>其他有利于项目售后保障的</w:t>
      </w:r>
      <w:r>
        <w:rPr>
          <w:rFonts w:hint="eastAsia" w:ascii="仿宋" w:hAnsi="仿宋" w:eastAsia="仿宋" w:cs="仿宋"/>
          <w:bCs/>
          <w:color w:val="auto"/>
          <w:sz w:val="32"/>
          <w:szCs w:val="32"/>
          <w:highlight w:val="none"/>
        </w:rPr>
        <w:t>措施。</w:t>
      </w:r>
    </w:p>
    <w:p w14:paraId="58898055">
      <w:pPr>
        <w:keepNext w:val="0"/>
        <w:keepLines w:val="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四、商务要求：</w:t>
      </w:r>
    </w:p>
    <w:p w14:paraId="43204FB1">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val="0"/>
          <w:color w:val="auto"/>
          <w:sz w:val="32"/>
          <w:szCs w:val="32"/>
          <w:highlight w:val="none"/>
        </w:rPr>
      </w:pP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lang w:val="en-US" w:eastAsia="zh-CN"/>
        </w:rPr>
        <w:t>一</w:t>
      </w: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rPr>
        <w:t>履约时间和地点</w:t>
      </w:r>
    </w:p>
    <w:p w14:paraId="18C729F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1.履约时间</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lang w:val="en-US" w:eastAsia="zh-CN"/>
        </w:rPr>
        <w:t>30个</w:t>
      </w:r>
      <w:r>
        <w:rPr>
          <w:rFonts w:hint="eastAsia" w:ascii="仿宋" w:hAnsi="仿宋" w:eastAsia="仿宋" w:cs="仿宋"/>
          <w:bCs/>
          <w:color w:val="auto"/>
          <w:sz w:val="32"/>
          <w:szCs w:val="32"/>
          <w:highlight w:val="none"/>
        </w:rPr>
        <w:t>日历天之内</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按照其承诺将所供产品</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出厂原包装</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运至</w:t>
      </w:r>
      <w:r>
        <w:rPr>
          <w:rFonts w:hint="eastAsia" w:ascii="仿宋" w:hAnsi="仿宋" w:eastAsia="仿宋" w:cs="仿宋"/>
          <w:bCs/>
          <w:color w:val="auto"/>
          <w:sz w:val="32"/>
          <w:szCs w:val="32"/>
          <w:highlight w:val="none"/>
          <w:lang w:val="en-US" w:eastAsia="zh-CN"/>
        </w:rPr>
        <w:t>采购人</w:t>
      </w:r>
      <w:r>
        <w:rPr>
          <w:rFonts w:hint="eastAsia" w:ascii="仿宋" w:hAnsi="仿宋" w:eastAsia="仿宋" w:cs="仿宋"/>
          <w:bCs/>
          <w:color w:val="auto"/>
          <w:sz w:val="32"/>
          <w:szCs w:val="32"/>
          <w:highlight w:val="none"/>
        </w:rPr>
        <w:t>指定地点</w:t>
      </w:r>
      <w:r>
        <w:rPr>
          <w:rFonts w:hint="eastAsia" w:ascii="仿宋" w:hAnsi="仿宋" w:eastAsia="仿宋" w:cs="仿宋"/>
          <w:bCs/>
          <w:color w:val="auto"/>
          <w:sz w:val="32"/>
          <w:szCs w:val="32"/>
          <w:highlight w:val="none"/>
          <w:lang w:eastAsia="zh-CN"/>
        </w:rPr>
        <w:t>，进行</w:t>
      </w:r>
      <w:r>
        <w:rPr>
          <w:rFonts w:hint="eastAsia" w:ascii="仿宋" w:hAnsi="仿宋" w:eastAsia="仿宋" w:cs="仿宋"/>
          <w:bCs/>
          <w:color w:val="auto"/>
          <w:sz w:val="32"/>
          <w:szCs w:val="32"/>
          <w:highlight w:val="none"/>
          <w:lang w:val="en-US" w:eastAsia="zh-CN"/>
        </w:rPr>
        <w:t>调试后</w:t>
      </w:r>
      <w:r>
        <w:rPr>
          <w:rFonts w:hint="eastAsia" w:ascii="仿宋" w:hAnsi="仿宋" w:eastAsia="仿宋" w:cs="仿宋"/>
          <w:bCs/>
          <w:color w:val="auto"/>
          <w:sz w:val="32"/>
          <w:szCs w:val="32"/>
          <w:highlight w:val="none"/>
        </w:rPr>
        <w:t>交付</w:t>
      </w:r>
      <w:r>
        <w:rPr>
          <w:rFonts w:hint="eastAsia" w:ascii="仿宋" w:hAnsi="仿宋" w:eastAsia="仿宋" w:cs="仿宋"/>
          <w:bCs/>
          <w:color w:val="auto"/>
          <w:sz w:val="32"/>
          <w:szCs w:val="32"/>
          <w:highlight w:val="none"/>
          <w:lang w:val="en-US" w:eastAsia="zh-CN"/>
        </w:rPr>
        <w:t>采购人</w:t>
      </w:r>
      <w:r>
        <w:rPr>
          <w:rFonts w:hint="eastAsia" w:ascii="仿宋" w:hAnsi="仿宋" w:eastAsia="仿宋" w:cs="仿宋"/>
          <w:bCs/>
          <w:color w:val="auto"/>
          <w:sz w:val="32"/>
          <w:szCs w:val="32"/>
          <w:highlight w:val="none"/>
        </w:rPr>
        <w:t>验收</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lang w:val="en-US" w:eastAsia="zh-CN"/>
        </w:rPr>
        <w:t>并</w:t>
      </w:r>
      <w:r>
        <w:rPr>
          <w:rFonts w:hint="eastAsia" w:ascii="仿宋" w:hAnsi="仿宋" w:eastAsia="仿宋" w:cs="仿宋"/>
          <w:bCs/>
          <w:color w:val="auto"/>
          <w:sz w:val="32"/>
          <w:szCs w:val="32"/>
          <w:highlight w:val="none"/>
        </w:rPr>
        <w:t>完成与</w:t>
      </w:r>
      <w:r>
        <w:rPr>
          <w:rFonts w:hint="eastAsia" w:ascii="仿宋" w:hAnsi="仿宋" w:eastAsia="仿宋" w:cs="仿宋"/>
          <w:bCs/>
          <w:color w:val="auto"/>
          <w:sz w:val="32"/>
          <w:szCs w:val="32"/>
          <w:highlight w:val="none"/>
          <w:lang w:val="en-US" w:eastAsia="zh-CN"/>
        </w:rPr>
        <w:t>中宣部电影数字节目交易平台注册及</w:t>
      </w:r>
      <w:r>
        <w:rPr>
          <w:rFonts w:hint="eastAsia" w:ascii="仿宋" w:hAnsi="仿宋" w:eastAsia="仿宋" w:cs="仿宋"/>
          <w:bCs/>
          <w:color w:val="auto"/>
          <w:sz w:val="32"/>
          <w:szCs w:val="32"/>
          <w:highlight w:val="none"/>
        </w:rPr>
        <w:t>对接，具备包括但不限于以下基本功能：影片</w:t>
      </w:r>
      <w:r>
        <w:rPr>
          <w:rFonts w:hint="eastAsia" w:ascii="仿宋" w:hAnsi="仿宋" w:eastAsia="仿宋" w:cs="仿宋"/>
          <w:bCs/>
          <w:color w:val="auto"/>
          <w:sz w:val="32"/>
          <w:szCs w:val="32"/>
          <w:highlight w:val="none"/>
          <w:lang w:val="en-US" w:eastAsia="zh-CN"/>
        </w:rPr>
        <w:t>订购、</w:t>
      </w:r>
      <w:r>
        <w:rPr>
          <w:rFonts w:hint="eastAsia" w:ascii="仿宋" w:hAnsi="仿宋" w:eastAsia="仿宋" w:cs="仿宋"/>
          <w:bCs/>
          <w:color w:val="auto"/>
          <w:sz w:val="32"/>
          <w:szCs w:val="32"/>
          <w:highlight w:val="none"/>
        </w:rPr>
        <w:t>下载、播放</w:t>
      </w:r>
      <w:r>
        <w:rPr>
          <w:rFonts w:hint="eastAsia" w:ascii="仿宋" w:hAnsi="仿宋" w:eastAsia="仿宋" w:cs="仿宋"/>
          <w:bCs/>
          <w:color w:val="auto"/>
          <w:sz w:val="32"/>
          <w:szCs w:val="32"/>
          <w:highlight w:val="none"/>
          <w:lang w:eastAsia="zh-CN"/>
        </w:rPr>
        <w:t>，播放信息上传至中影农村放映服务平台，</w:t>
      </w:r>
      <w:r>
        <w:rPr>
          <w:rFonts w:hint="eastAsia" w:ascii="仿宋" w:hAnsi="仿宋" w:eastAsia="仿宋" w:cs="仿宋"/>
          <w:bCs/>
          <w:color w:val="auto"/>
          <w:sz w:val="32"/>
          <w:szCs w:val="32"/>
          <w:highlight w:val="none"/>
        </w:rPr>
        <w:t>支持</w:t>
      </w:r>
      <w:r>
        <w:rPr>
          <w:rFonts w:hint="eastAsia" w:ascii="仿宋" w:hAnsi="仿宋" w:eastAsia="仿宋" w:cs="仿宋"/>
          <w:bCs/>
          <w:color w:val="auto"/>
          <w:sz w:val="32"/>
          <w:szCs w:val="32"/>
          <w:highlight w:val="none"/>
          <w:lang w:val="en-US" w:eastAsia="zh-CN"/>
        </w:rPr>
        <w:t>智能手机</w:t>
      </w:r>
      <w:r>
        <w:rPr>
          <w:rFonts w:hint="eastAsia" w:ascii="仿宋" w:hAnsi="仿宋" w:eastAsia="仿宋" w:cs="仿宋"/>
          <w:bCs/>
          <w:color w:val="auto"/>
          <w:sz w:val="32"/>
          <w:szCs w:val="32"/>
          <w:highlight w:val="none"/>
        </w:rPr>
        <w:t>进行影片</w:t>
      </w:r>
      <w:r>
        <w:rPr>
          <w:rFonts w:hint="eastAsia" w:ascii="仿宋" w:hAnsi="仿宋" w:eastAsia="仿宋" w:cs="仿宋"/>
          <w:bCs/>
          <w:color w:val="auto"/>
          <w:sz w:val="32"/>
          <w:szCs w:val="32"/>
          <w:highlight w:val="none"/>
          <w:lang w:val="en-US" w:eastAsia="zh-CN"/>
        </w:rPr>
        <w:t>订购</w:t>
      </w:r>
      <w:r>
        <w:rPr>
          <w:rFonts w:hint="eastAsia" w:ascii="仿宋" w:hAnsi="仿宋" w:eastAsia="仿宋" w:cs="仿宋"/>
          <w:bCs/>
          <w:color w:val="auto"/>
          <w:sz w:val="32"/>
          <w:szCs w:val="32"/>
          <w:highlight w:val="none"/>
          <w:lang w:eastAsia="zh-CN"/>
        </w:rPr>
        <w:t>。</w:t>
      </w:r>
    </w:p>
    <w:p w14:paraId="46C69B3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2.履约地点</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采购人指定地点。</w:t>
      </w:r>
    </w:p>
    <w:p w14:paraId="4A0F63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Cs/>
          <w:color w:val="auto"/>
          <w:sz w:val="32"/>
          <w:szCs w:val="32"/>
          <w:highlight w:val="none"/>
          <w:lang w:eastAsia="zh-CN"/>
        </w:rPr>
      </w:pPr>
    </w:p>
    <w:p w14:paraId="36CE99D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lang w:val="en-US" w:eastAsia="zh-CN"/>
        </w:rPr>
        <w:t>二</w:t>
      </w:r>
      <w:r>
        <w:rPr>
          <w:rFonts w:hint="eastAsia" w:ascii="楷体_GB2312" w:hAnsi="楷体_GB2312" w:eastAsia="楷体_GB2312" w:cs="楷体_GB2312"/>
          <w:b/>
          <w:bCs w:val="0"/>
          <w:color w:val="auto"/>
          <w:sz w:val="32"/>
          <w:szCs w:val="32"/>
          <w:highlight w:val="none"/>
          <w:lang w:eastAsia="zh-CN"/>
        </w:rPr>
        <w:t>）质保期</w:t>
      </w:r>
    </w:p>
    <w:p w14:paraId="02CAB69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供应商应当保证所</w:t>
      </w:r>
      <w:r>
        <w:rPr>
          <w:rFonts w:hint="eastAsia" w:ascii="仿宋" w:hAnsi="仿宋" w:eastAsia="仿宋" w:cs="仿宋"/>
          <w:bCs/>
          <w:color w:val="auto"/>
          <w:sz w:val="32"/>
          <w:szCs w:val="32"/>
          <w:highlight w:val="none"/>
          <w:lang w:val="en-US" w:eastAsia="zh-CN"/>
        </w:rPr>
        <w:t>提供</w:t>
      </w:r>
      <w:r>
        <w:rPr>
          <w:rFonts w:hint="eastAsia" w:ascii="仿宋" w:hAnsi="仿宋" w:eastAsia="仿宋" w:cs="仿宋"/>
          <w:bCs/>
          <w:color w:val="auto"/>
          <w:sz w:val="32"/>
          <w:szCs w:val="32"/>
          <w:highlight w:val="none"/>
        </w:rPr>
        <w:t>产品为全新且未使用过的产品。数字电影</w:t>
      </w:r>
      <w:r>
        <w:rPr>
          <w:rFonts w:hint="eastAsia" w:ascii="仿宋" w:hAnsi="仿宋" w:eastAsia="仿宋" w:cs="仿宋"/>
          <w:bCs/>
          <w:color w:val="auto"/>
          <w:sz w:val="32"/>
          <w:szCs w:val="32"/>
          <w:highlight w:val="none"/>
          <w:lang w:val="en-US" w:eastAsia="zh-CN"/>
        </w:rPr>
        <w:t>服务</w:t>
      </w:r>
      <w:r>
        <w:rPr>
          <w:rFonts w:hint="eastAsia" w:ascii="仿宋" w:hAnsi="仿宋" w:eastAsia="仿宋" w:cs="仿宋"/>
          <w:bCs/>
          <w:color w:val="auto"/>
          <w:sz w:val="32"/>
          <w:szCs w:val="32"/>
          <w:highlight w:val="none"/>
        </w:rPr>
        <w:t>器、</w:t>
      </w:r>
      <w:r>
        <w:rPr>
          <w:rFonts w:hint="eastAsia" w:ascii="仿宋" w:hAnsi="仿宋" w:eastAsia="仿宋" w:cs="仿宋"/>
          <w:bCs/>
          <w:color w:val="auto"/>
          <w:sz w:val="32"/>
          <w:szCs w:val="32"/>
          <w:highlight w:val="none"/>
          <w:lang w:eastAsia="zh-CN"/>
        </w:rPr>
        <w:t>激光投影仪</w:t>
      </w:r>
      <w:r>
        <w:rPr>
          <w:rFonts w:hint="eastAsia" w:ascii="仿宋" w:hAnsi="仿宋" w:eastAsia="仿宋" w:cs="仿宋"/>
          <w:bCs/>
          <w:color w:val="auto"/>
          <w:sz w:val="32"/>
          <w:szCs w:val="32"/>
          <w:highlight w:val="none"/>
        </w:rPr>
        <w:t>的保修期</w:t>
      </w:r>
      <w:r>
        <w:rPr>
          <w:rFonts w:hint="eastAsia" w:ascii="仿宋" w:hAnsi="仿宋" w:eastAsia="仿宋" w:cs="仿宋"/>
          <w:bCs/>
          <w:color w:val="auto"/>
          <w:sz w:val="32"/>
          <w:szCs w:val="32"/>
          <w:highlight w:val="none"/>
          <w:lang w:val="en-US" w:eastAsia="zh-CN"/>
        </w:rPr>
        <w:t>自验收合格之日起不少于</w:t>
      </w:r>
      <w:r>
        <w:rPr>
          <w:rFonts w:hint="eastAsia" w:ascii="仿宋" w:hAnsi="仿宋" w:eastAsia="仿宋" w:cs="仿宋"/>
          <w:bCs/>
          <w:color w:val="auto"/>
          <w:sz w:val="32"/>
          <w:szCs w:val="32"/>
          <w:highlight w:val="none"/>
        </w:rPr>
        <w:t>2年，</w:t>
      </w:r>
      <w:r>
        <w:rPr>
          <w:rFonts w:hint="eastAsia" w:ascii="仿宋" w:hAnsi="仿宋" w:eastAsia="仿宋" w:cs="仿宋"/>
          <w:bCs/>
          <w:color w:val="auto"/>
          <w:sz w:val="32"/>
          <w:szCs w:val="32"/>
          <w:highlight w:val="none"/>
          <w:lang w:eastAsia="zh-CN"/>
        </w:rPr>
        <w:t>其他</w:t>
      </w:r>
      <w:r>
        <w:rPr>
          <w:rFonts w:hint="eastAsia" w:ascii="仿宋" w:hAnsi="仿宋" w:eastAsia="仿宋" w:cs="仿宋"/>
          <w:bCs/>
          <w:color w:val="auto"/>
          <w:sz w:val="32"/>
          <w:szCs w:val="32"/>
          <w:highlight w:val="none"/>
        </w:rPr>
        <w:t>产品</w:t>
      </w:r>
      <w:r>
        <w:rPr>
          <w:rFonts w:hint="eastAsia" w:ascii="仿宋" w:hAnsi="仿宋" w:eastAsia="仿宋" w:cs="仿宋"/>
          <w:bCs/>
          <w:color w:val="auto"/>
          <w:sz w:val="32"/>
          <w:szCs w:val="32"/>
          <w:highlight w:val="none"/>
          <w:lang w:val="en-US" w:eastAsia="zh-CN"/>
        </w:rPr>
        <w:t>不少于</w:t>
      </w:r>
      <w:r>
        <w:rPr>
          <w:rFonts w:hint="eastAsia" w:ascii="仿宋" w:hAnsi="仿宋" w:eastAsia="仿宋" w:cs="仿宋"/>
          <w:bCs/>
          <w:color w:val="auto"/>
          <w:sz w:val="32"/>
          <w:szCs w:val="32"/>
          <w:highlight w:val="none"/>
        </w:rPr>
        <w:t>1年。</w:t>
      </w:r>
    </w:p>
    <w:p w14:paraId="7D39655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lang w:val="en-US" w:eastAsia="zh-CN"/>
        </w:rPr>
        <w:t>三</w:t>
      </w:r>
      <w:r>
        <w:rPr>
          <w:rFonts w:hint="eastAsia" w:ascii="楷体_GB2312" w:hAnsi="楷体_GB2312" w:eastAsia="楷体_GB2312" w:cs="楷体_GB2312"/>
          <w:b/>
          <w:bCs w:val="0"/>
          <w:color w:val="auto"/>
          <w:sz w:val="32"/>
          <w:szCs w:val="32"/>
          <w:highlight w:val="none"/>
          <w:lang w:eastAsia="zh-CN"/>
        </w:rPr>
        <w:t>）合同价款</w:t>
      </w:r>
    </w:p>
    <w:p w14:paraId="1FADE7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合同价是供应商响应采购项目要求的全部工作内容的价格体现，包括货物设计、材料、生产制造、包装、运输、安装、调试、检测、培训、利润、验收合格交付使用之前及保修期内保修服务与备用物件</w:t>
      </w:r>
      <w:r>
        <w:rPr>
          <w:rFonts w:hint="eastAsia" w:ascii="仿宋" w:hAnsi="仿宋" w:eastAsia="仿宋" w:cs="仿宋"/>
          <w:bCs/>
          <w:color w:val="auto"/>
          <w:sz w:val="32"/>
          <w:szCs w:val="32"/>
          <w:highlight w:val="none"/>
          <w:lang w:eastAsia="zh-CN"/>
        </w:rPr>
        <w:t>等</w:t>
      </w:r>
      <w:r>
        <w:rPr>
          <w:rFonts w:hint="eastAsia" w:ascii="仿宋" w:hAnsi="仿宋" w:eastAsia="仿宋" w:cs="仿宋"/>
          <w:bCs/>
          <w:color w:val="auto"/>
          <w:sz w:val="32"/>
          <w:szCs w:val="32"/>
          <w:highlight w:val="none"/>
        </w:rPr>
        <w:t>所有其他有关各项的含税费用。</w:t>
      </w:r>
    </w:p>
    <w:p w14:paraId="6CC26C5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lang w:val="en-US" w:eastAsia="zh-CN"/>
        </w:rPr>
        <w:t>四</w:t>
      </w:r>
      <w:r>
        <w:rPr>
          <w:rFonts w:hint="eastAsia" w:ascii="楷体_GB2312" w:hAnsi="楷体_GB2312" w:eastAsia="楷体_GB2312" w:cs="楷体_GB2312"/>
          <w:b/>
          <w:bCs w:val="0"/>
          <w:color w:val="auto"/>
          <w:sz w:val="32"/>
          <w:szCs w:val="32"/>
          <w:highlight w:val="none"/>
          <w:lang w:eastAsia="zh-CN"/>
        </w:rPr>
        <w:t>）付款方式</w:t>
      </w:r>
    </w:p>
    <w:p w14:paraId="77B8360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w:t>
      </w:r>
      <w:r>
        <w:rPr>
          <w:rFonts w:hint="eastAsia" w:ascii="仿宋" w:hAnsi="仿宋" w:eastAsia="仿宋" w:cs="仿宋"/>
          <w:bCs/>
          <w:color w:val="auto"/>
          <w:sz w:val="32"/>
          <w:szCs w:val="32"/>
          <w:highlight w:val="none"/>
          <w:lang w:val="en-US" w:eastAsia="zh-CN"/>
        </w:rPr>
        <w:t>签订合同后5个工作日内，采购人向供应商支付合同总价的30%作为预付款，</w:t>
      </w:r>
      <w:r>
        <w:rPr>
          <w:rFonts w:hint="eastAsia" w:ascii="仿宋" w:hAnsi="仿宋" w:eastAsia="仿宋" w:cs="仿宋"/>
          <w:bCs/>
          <w:color w:val="auto"/>
          <w:sz w:val="32"/>
          <w:szCs w:val="32"/>
          <w:highlight w:val="none"/>
        </w:rPr>
        <w:t>货到验收合格</w:t>
      </w:r>
      <w:r>
        <w:rPr>
          <w:rFonts w:hint="eastAsia" w:ascii="仿宋" w:hAnsi="仿宋" w:eastAsia="仿宋" w:cs="仿宋"/>
          <w:bCs/>
          <w:color w:val="auto"/>
          <w:sz w:val="32"/>
          <w:szCs w:val="32"/>
          <w:highlight w:val="none"/>
          <w:lang w:val="en-US" w:eastAsia="zh-CN"/>
        </w:rPr>
        <w:t>并完成平台注册和对接</w:t>
      </w:r>
      <w:r>
        <w:rPr>
          <w:rFonts w:hint="eastAsia" w:ascii="仿宋" w:hAnsi="仿宋" w:eastAsia="仿宋" w:cs="仿宋"/>
          <w:bCs/>
          <w:color w:val="auto"/>
          <w:sz w:val="32"/>
          <w:szCs w:val="32"/>
          <w:highlight w:val="none"/>
        </w:rPr>
        <w:t>后，采购人向供应商支付合同总价的</w:t>
      </w:r>
      <w:r>
        <w:rPr>
          <w:rFonts w:hint="eastAsia" w:ascii="仿宋" w:hAnsi="仿宋" w:eastAsia="仿宋" w:cs="仿宋"/>
          <w:bCs/>
          <w:color w:val="auto"/>
          <w:sz w:val="32"/>
          <w:szCs w:val="32"/>
          <w:highlight w:val="none"/>
          <w:lang w:val="en-US" w:eastAsia="zh-CN"/>
        </w:rPr>
        <w:t>7</w:t>
      </w:r>
      <w:r>
        <w:rPr>
          <w:rFonts w:hint="eastAsia" w:ascii="仿宋" w:hAnsi="仿宋" w:eastAsia="仿宋" w:cs="仿宋"/>
          <w:bCs/>
          <w:color w:val="auto"/>
          <w:sz w:val="32"/>
          <w:szCs w:val="32"/>
          <w:highlight w:val="none"/>
        </w:rPr>
        <w:t>0%。</w:t>
      </w:r>
    </w:p>
    <w:p w14:paraId="437728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2.履约保证金</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无</w:t>
      </w:r>
      <w:r>
        <w:rPr>
          <w:rFonts w:hint="eastAsia" w:ascii="仿宋" w:hAnsi="仿宋" w:eastAsia="仿宋" w:cs="仿宋"/>
          <w:bCs/>
          <w:color w:val="auto"/>
          <w:sz w:val="32"/>
          <w:szCs w:val="32"/>
          <w:highlight w:val="none"/>
          <w:lang w:eastAsia="zh-CN"/>
        </w:rPr>
        <w:t>。</w:t>
      </w:r>
    </w:p>
    <w:p w14:paraId="5A4AEF2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3.供应商须向采购人出具合法有效完整的增值税发票及凭证资料</w:t>
      </w:r>
      <w:r>
        <w:rPr>
          <w:rFonts w:hint="eastAsia" w:ascii="仿宋" w:hAnsi="仿宋" w:eastAsia="仿宋" w:cs="仿宋"/>
          <w:bCs/>
          <w:color w:val="auto"/>
          <w:sz w:val="32"/>
          <w:szCs w:val="32"/>
          <w:highlight w:val="none"/>
          <w:lang w:eastAsia="zh-CN"/>
        </w:rPr>
        <w:t>，用于</w:t>
      </w:r>
      <w:r>
        <w:rPr>
          <w:rFonts w:hint="eastAsia" w:ascii="仿宋" w:hAnsi="仿宋" w:eastAsia="仿宋" w:cs="仿宋"/>
          <w:bCs/>
          <w:color w:val="auto"/>
          <w:sz w:val="32"/>
          <w:szCs w:val="32"/>
          <w:highlight w:val="none"/>
        </w:rPr>
        <w:t>支付结算。</w:t>
      </w:r>
    </w:p>
    <w:p w14:paraId="187523A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w:t>
      </w:r>
      <w:r>
        <w:rPr>
          <w:rFonts w:hint="eastAsia" w:ascii="楷体_GB2312" w:hAnsi="楷体_GB2312" w:eastAsia="楷体_GB2312" w:cs="楷体_GB2312"/>
          <w:b/>
          <w:bCs w:val="0"/>
          <w:color w:val="auto"/>
          <w:sz w:val="32"/>
          <w:szCs w:val="32"/>
          <w:highlight w:val="none"/>
          <w:lang w:val="en-US" w:eastAsia="zh-CN"/>
        </w:rPr>
        <w:t>五</w:t>
      </w:r>
      <w:r>
        <w:rPr>
          <w:rFonts w:hint="eastAsia" w:ascii="楷体_GB2312" w:hAnsi="楷体_GB2312" w:eastAsia="楷体_GB2312" w:cs="楷体_GB2312"/>
          <w:b/>
          <w:bCs w:val="0"/>
          <w:color w:val="auto"/>
          <w:sz w:val="32"/>
          <w:szCs w:val="32"/>
          <w:highlight w:val="none"/>
          <w:lang w:eastAsia="zh-CN"/>
        </w:rPr>
        <w:t>）其他</w:t>
      </w:r>
    </w:p>
    <w:p w14:paraId="5393005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1.因货物的质量问题发生争议，由采购人或其指定的第三方机构进行质量鉴定。货物符合标准的，鉴定费由采购人承担</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货物不符合质量标准的，鉴定费由供应商承担</w:t>
      </w:r>
      <w:r>
        <w:rPr>
          <w:rFonts w:hint="eastAsia" w:ascii="仿宋" w:hAnsi="仿宋" w:eastAsia="仿宋" w:cs="仿宋"/>
          <w:bCs/>
          <w:color w:val="auto"/>
          <w:sz w:val="32"/>
          <w:szCs w:val="32"/>
          <w:highlight w:val="none"/>
          <w:lang w:eastAsia="zh-CN"/>
        </w:rPr>
        <w:t>。</w:t>
      </w:r>
    </w:p>
    <w:p w14:paraId="6977BD6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2.验收方法和标准</w:t>
      </w:r>
    </w:p>
    <w:p w14:paraId="67C9BC0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lang w:val="en-US" w:eastAsia="zh-CN"/>
        </w:rPr>
        <w:t>1</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验收标准</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按国家有关规定</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采购文件的质量要求和技术指标、供应商的投标文件及承诺</w:t>
      </w:r>
      <w:r>
        <w:rPr>
          <w:rFonts w:hint="eastAsia" w:ascii="仿宋" w:hAnsi="仿宋" w:eastAsia="仿宋" w:cs="仿宋"/>
          <w:bCs/>
          <w:color w:val="auto"/>
          <w:sz w:val="32"/>
          <w:szCs w:val="32"/>
          <w:highlight w:val="none"/>
          <w:lang w:eastAsia="zh-CN"/>
        </w:rPr>
        <w:t>以及</w:t>
      </w:r>
      <w:r>
        <w:rPr>
          <w:rFonts w:hint="eastAsia" w:ascii="仿宋" w:hAnsi="仿宋" w:eastAsia="仿宋" w:cs="仿宋"/>
          <w:bCs/>
          <w:color w:val="auto"/>
          <w:sz w:val="32"/>
          <w:szCs w:val="32"/>
          <w:highlight w:val="none"/>
        </w:rPr>
        <w:t>本合同约定标准进行验收</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采购人与供应商双方如对质量要求和技术指标的约定标准有相互抵触或异议的事项，由采购人在采购文件及投标文件中按质量要求和技术指标比较优胜的原则确定该项的约定标准进行验收</w:t>
      </w:r>
      <w:r>
        <w:rPr>
          <w:rFonts w:hint="eastAsia" w:ascii="仿宋" w:hAnsi="仿宋" w:eastAsia="仿宋" w:cs="仿宋"/>
          <w:bCs/>
          <w:color w:val="auto"/>
          <w:sz w:val="32"/>
          <w:szCs w:val="32"/>
          <w:highlight w:val="none"/>
          <w:lang w:eastAsia="zh-CN"/>
        </w:rPr>
        <w:t>。</w:t>
      </w:r>
    </w:p>
    <w:p w14:paraId="0FD3BF1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lang w:val="en-US" w:eastAsia="zh-CN"/>
        </w:rPr>
        <w:t>2</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验收时如发现所交付的货物有短装、次品、损坏或</w:t>
      </w:r>
      <w:r>
        <w:rPr>
          <w:rFonts w:hint="eastAsia" w:ascii="仿宋" w:hAnsi="仿宋" w:eastAsia="仿宋" w:cs="仿宋"/>
          <w:bCs/>
          <w:color w:val="auto"/>
          <w:sz w:val="32"/>
          <w:szCs w:val="32"/>
          <w:highlight w:val="none"/>
          <w:lang w:eastAsia="zh-CN"/>
        </w:rPr>
        <w:t>其他不</w:t>
      </w:r>
      <w:r>
        <w:rPr>
          <w:rFonts w:hint="eastAsia" w:ascii="仿宋" w:hAnsi="仿宋" w:eastAsia="仿宋" w:cs="仿宋"/>
          <w:bCs/>
          <w:color w:val="auto"/>
          <w:sz w:val="32"/>
          <w:szCs w:val="32"/>
          <w:highlight w:val="none"/>
        </w:rPr>
        <w:t>符合标准及本合同规定之情形者，采购人应做出详尽的现场记录，或由采购人与供应商双方签署备忘录，此现场记录或备忘录可用作补充、缺失和更换损坏部件的有效证据，由此产生的时间延误与有关费用由供应商承担，验收期限相应顺延</w:t>
      </w:r>
      <w:r>
        <w:rPr>
          <w:rFonts w:hint="eastAsia" w:ascii="仿宋" w:hAnsi="仿宋" w:eastAsia="仿宋" w:cs="仿宋"/>
          <w:bCs/>
          <w:color w:val="auto"/>
          <w:sz w:val="32"/>
          <w:szCs w:val="32"/>
          <w:highlight w:val="none"/>
          <w:lang w:eastAsia="zh-CN"/>
        </w:rPr>
        <w:t>。</w:t>
      </w:r>
    </w:p>
    <w:p w14:paraId="742A4E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3.采购人在规定时间内无故不进行验收工作并已使用货物的，视同</w:t>
      </w:r>
      <w:r>
        <w:rPr>
          <w:rFonts w:hint="eastAsia" w:ascii="仿宋" w:hAnsi="仿宋" w:eastAsia="仿宋" w:cs="仿宋"/>
          <w:bCs/>
          <w:color w:val="auto"/>
          <w:sz w:val="32"/>
          <w:szCs w:val="32"/>
          <w:highlight w:val="none"/>
          <w:lang w:eastAsia="zh-CN"/>
        </w:rPr>
        <w:t>已</w:t>
      </w:r>
      <w:r>
        <w:rPr>
          <w:rFonts w:hint="eastAsia" w:ascii="仿宋" w:hAnsi="仿宋" w:eastAsia="仿宋" w:cs="仿宋"/>
          <w:bCs/>
          <w:color w:val="auto"/>
          <w:sz w:val="32"/>
          <w:szCs w:val="32"/>
          <w:highlight w:val="none"/>
        </w:rPr>
        <w:t>安装调试完成并验收合格。</w:t>
      </w:r>
    </w:p>
    <w:p w14:paraId="3B71848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4.供应商应将所提供货物的装箱清单、配件、随机工具、用户使用手册、原厂保修卡等资料交付给采购人</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rPr>
        <w:t>供应商不能完整交付货物及本款规定的单证和工具的，必须负责补齐，否则视为未按合同约定交货。</w:t>
      </w:r>
    </w:p>
    <w:p w14:paraId="58B40FF7"/>
    <w:sectPr>
      <w:pgSz w:w="11906" w:h="16838"/>
      <w:pgMar w:top="1440" w:right="1800" w:bottom="1440" w:left="1800"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00139">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B1CDC">
                          <w:pPr>
                            <w:pStyle w:val="2"/>
                          </w:pPr>
                          <w: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2</w:t>
                          </w:r>
                          <w:r>
                            <w:rPr>
                              <w:sz w:val="22"/>
                              <w:szCs w:val="36"/>
                            </w:rPr>
                            <w:fldChar w:fldCharType="end"/>
                          </w:r>
                          <w:r>
                            <w:rPr>
                              <w:sz w:val="22"/>
                              <w:szCs w:val="36"/>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5DB1CDC">
                    <w:pPr>
                      <w:pStyle w:val="2"/>
                    </w:pPr>
                    <w:r>
                      <w:t xml:space="preserve">— </w:t>
                    </w:r>
                    <w:r>
                      <w:rPr>
                        <w:sz w:val="22"/>
                        <w:szCs w:val="36"/>
                      </w:rPr>
                      <w:fldChar w:fldCharType="begin"/>
                    </w:r>
                    <w:r>
                      <w:rPr>
                        <w:sz w:val="22"/>
                        <w:szCs w:val="36"/>
                      </w:rPr>
                      <w:instrText xml:space="preserve"> PAGE  \* MERGEFORMAT </w:instrText>
                    </w:r>
                    <w:r>
                      <w:rPr>
                        <w:sz w:val="22"/>
                        <w:szCs w:val="36"/>
                      </w:rPr>
                      <w:fldChar w:fldCharType="separate"/>
                    </w:r>
                    <w:r>
                      <w:rPr>
                        <w:sz w:val="22"/>
                        <w:szCs w:val="36"/>
                      </w:rPr>
                      <w:t>2</w:t>
                    </w:r>
                    <w:r>
                      <w:rPr>
                        <w:sz w:val="22"/>
                        <w:szCs w:val="36"/>
                      </w:rPr>
                      <w:fldChar w:fldCharType="end"/>
                    </w:r>
                    <w:r>
                      <w:rPr>
                        <w:sz w:val="22"/>
                        <w:szCs w:val="36"/>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C45037"/>
    <w:rsid w:val="3D542D69"/>
    <w:rsid w:val="445D39F9"/>
    <w:rsid w:val="56085F32"/>
    <w:rsid w:val="77C45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9725480d-d6cd-4736-8489-7b750a2536e8</errorID>
      <errorWord>）；</errorWord>
      <group>L1_Punc</group>
      <groupName>标点问题</groupName>
      <ability>L2_Punc_CN</ability>
      <abilityName>标点符号问题</abilityName>
      <candidateList>
        <item>)。</item>
      </candidateList>
      <explain/>
      <paraID>7FE341CB</paraID>
      <start>25</start>
      <end>27</end>
      <status>modified</status>
      <modifiedWord>)。</modifiedWord>
      <trackRevisions>false</trackRevisions>
    </reviewItem>
    <reviewItem>
      <errorID>b44e7036-27c5-4b5e-9037-3020a891c6be</errorID>
      <errorWord>包装完好</errorWord>
      <group>L1_Grammar</group>
      <groupName>语法问题</groupName>
      <ability>L2_Grammar</ability>
      <abilityName>语法错误</abilityName>
      <candidateList>
        <item>包装</item>
      </candidateList>
      <explain/>
      <paraID>44D85608</paraID>
      <start>67</start>
      <end>71</end>
      <status>ignored</status>
      <modifiedWord/>
      <trackRevisions>false</trackRevisions>
    </reviewItem>
    <reviewItem>
      <errorID>5c6db9b5-fa1e-4393-baa0-b803a2b2f755</errorID>
      <errorWord>生产厂家生产场地</errorWord>
      <group>L1_Grammar</group>
      <groupName>语法问题</groupName>
      <ability>L2_Grammar</ability>
      <abilityName>语法错误</abilityName>
      <candidateList>
        <item>生产厂家</item>
      </candidateList>
      <explain/>
      <paraID>62D90C72</paraID>
      <start>51</start>
      <end>55</end>
      <status>modified</status>
      <modifiedWord>生产厂家</modifiedWord>
      <trackRevisions>false</trackRevisions>
    </reviewItem>
    <reviewItem>
      <errorID>b0c12a59-102b-4d67-ada3-0f57e9d8ebb8</errorID>
      <errorWord>机具配置</errorWord>
      <group>L1_Grammar</group>
      <groupName>语法问题</groupName>
      <ability>L2_Grammar</ability>
      <abilityName>语法错误</abilityName>
      <candidateList>
        <item>机具</item>
      </candidateList>
      <explain/>
      <paraID> EA3E8ED</paraID>
      <start>44</start>
      <end>46</end>
      <status>modified</status>
      <modifiedWord>机具</modifiedWord>
      <trackRevisions>false</trackRevisions>
    </reviewItem>
    <reviewItem>
      <errorID>79e51929-b7d4-4813-8de2-92d5c9da28f0</errorID>
      <errorWord>数字投影仪</errorWord>
      <group>L1_Other</group>
      <groupName>其他问题</groupName>
      <ability>L2_Consistency</ability>
      <abilityName>一致性检查</abilityName>
      <candidateList>
        <item>激光投影仪</item>
      </candidateList>
      <explain>术语一致性：同一设备在技术要求中称为“激光投影仪”，此处表述不一致，应统一为“激光投影仪”。</explain>
      <paraID> 2CAB693</paraID>
      <start>32</start>
      <end>37</end>
      <status>modified</status>
      <modifiedWord>激光投影仪</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cbc9f6-36cb-46b6-be24-3ecf733374d6}">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1508</Words>
  <Characters>1791</Characters>
  <Lines>0</Lines>
  <Paragraphs>0</Paragraphs>
  <TotalTime>1</TotalTime>
  <ScaleCrop>false</ScaleCrop>
  <LinksUpToDate>false</LinksUpToDate>
  <CharactersWithSpaces>1801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2026-10-28T02:42:00Z</dcterms:created>
  <dc:creator>海</dc:creator>
  <cp:lastModifiedBy>办公室</cp:lastModifiedBy>
  <cp:lastPrinted>2026-10-28T02:51:00Z</cp:lastPrinted>
  <dcterms:modified xsi:type="dcterms:W3CDTF">2026-10-28T03:02:43Z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DE02F16A69B64020B99A85519F222F35_11</vt:lpwstr>
  </property>
  <property fmtid="{D5CDD505-2E9C-101B-9397-08002B2CF9AE}" pid="4" name="KSOTemplateDocerSaveRecord">
    <vt:lpwstr>eyJoZGlkIjoiMTcwZTQ0YTYyNWUzZDM3YzZmNWNkZTNkZWM3YjdkMTciLCJ1c2VySWQiOiIxMzg3Njg3OTc1In0=</vt:lpwstr>
  </property>
</Properties>
</file>